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2D768">
      <w:pPr>
        <w:pStyle w:val="2"/>
        <w:tabs>
          <w:tab w:val="right" w:leader="dot" w:pos="9060"/>
        </w:tabs>
        <w:spacing w:line="360" w:lineRule="auto"/>
        <w:jc w:val="center"/>
        <w:outlineLvl w:val="0"/>
        <w:rPr>
          <w:rFonts w:hint="eastAsia" w:ascii="华文中宋" w:hAnsi="华文中宋" w:eastAsia="华文中宋"/>
          <w:b w:val="0"/>
          <w:bCs w:val="0"/>
          <w:color w:val="auto"/>
          <w:kern w:val="44"/>
          <w:sz w:val="32"/>
          <w:szCs w:val="32"/>
          <w:highlight w:val="none"/>
        </w:rPr>
      </w:pPr>
      <w:bookmarkStart w:id="0" w:name="_Toc28359011"/>
      <w:bookmarkStart w:id="1" w:name="_Toc35393797"/>
      <w:r>
        <w:rPr>
          <w:rFonts w:hint="eastAsia" w:ascii="华文中宋" w:hAnsi="华文中宋" w:eastAsia="华文中宋" w:cs="Times New Roman"/>
          <w:b w:val="0"/>
          <w:bCs w:val="0"/>
          <w:i w:val="0"/>
          <w:color w:val="auto"/>
          <w:kern w:val="44"/>
          <w:sz w:val="32"/>
          <w:szCs w:val="32"/>
          <w:highlight w:val="none"/>
          <w:lang w:val="en-US" w:eastAsia="zh-CN" w:bidi="ar-SA"/>
        </w:rPr>
        <w:t>2025年度潜山市舒州皖潜供水有限公司7月-12月内衬不锈钢管及配件采购项目</w:t>
      </w:r>
    </w:p>
    <w:p w14:paraId="33133D09">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0"/>
      <w:bookmarkEnd w:id="1"/>
    </w:p>
    <w:tbl>
      <w:tblPr>
        <w:tblStyle w:val="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65B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B4D9BBA">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57549D5">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（2025年度潜山市舒州皖潜供水有限公司7月-12月内衬不锈钢管及配件采购项目）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45</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2025年潜山市舒州皖潜供水有限公司安装项目主要材料入库备选供应商征集项目”（第六包：内衬不锈钢管及配件）的入库供应商参与本次采购活动</w:t>
            </w:r>
            <w:r>
              <w:rPr>
                <w:rFonts w:hint="eastAsia" w:ascii="Calibri" w:hAnsi="Calibri"/>
                <w:szCs w:val="21"/>
                <w:lang w:eastAsia="zh-CN" w:bidi="ar"/>
              </w:rPr>
              <w:t>。</w:t>
            </w:r>
          </w:p>
        </w:tc>
      </w:tr>
    </w:tbl>
    <w:p w14:paraId="1D4AEB4A">
      <w:pPr>
        <w:rPr>
          <w:color w:val="auto"/>
          <w:szCs w:val="21"/>
          <w:highlight w:val="none"/>
        </w:rPr>
      </w:pPr>
    </w:p>
    <w:p w14:paraId="2EBEF00E">
      <w:pPr>
        <w:rPr>
          <w:rFonts w:ascii="黑体" w:hAnsi="黑体" w:eastAsia="黑体" w:cs="宋体"/>
          <w:bCs/>
          <w:color w:val="auto"/>
          <w:sz w:val="28"/>
          <w:szCs w:val="28"/>
          <w:highlight w:val="none"/>
        </w:rPr>
      </w:pPr>
      <w:bookmarkStart w:id="2" w:name="_Toc28359012"/>
      <w:bookmarkStart w:id="3" w:name="_Toc35393798"/>
      <w:bookmarkStart w:id="4" w:name="_Toc28359089"/>
      <w:bookmarkStart w:id="5" w:name="_Toc35393629"/>
      <w:r>
        <w:rPr>
          <w:rFonts w:hint="eastAsia" w:ascii="黑体" w:hAnsi="黑体" w:eastAsia="黑体" w:cs="宋体"/>
          <w:bCs/>
          <w:color w:val="auto"/>
          <w:sz w:val="28"/>
          <w:szCs w:val="28"/>
          <w:highlight w:val="none"/>
        </w:rPr>
        <w:t>一、项目基本情况</w:t>
      </w:r>
      <w:bookmarkEnd w:id="2"/>
      <w:bookmarkEnd w:id="3"/>
      <w:bookmarkEnd w:id="4"/>
      <w:bookmarkEnd w:id="5"/>
    </w:p>
    <w:p w14:paraId="1E13045F">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皖TJ-CG25032</w:t>
      </w:r>
    </w:p>
    <w:p w14:paraId="56F2A4B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2025年度潜山市舒州皖潜供水有限公司7月-12月内衬不锈钢管及配件采购项目</w:t>
      </w:r>
      <w:r>
        <w:rPr>
          <w:rFonts w:hint="eastAsia" w:ascii="仿宋" w:hAnsi="仿宋" w:eastAsia="仿宋"/>
          <w:color w:val="auto"/>
          <w:sz w:val="28"/>
          <w:szCs w:val="28"/>
          <w:highlight w:val="none"/>
          <w:lang w:val="en-US" w:eastAsia="zh-CN"/>
        </w:rPr>
        <w:t xml:space="preserve"> </w:t>
      </w:r>
    </w:p>
    <w:p w14:paraId="711CB2E9">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8CCC662">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7FFD874B">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57CCA0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6BD844AC">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66146F60">
      <w:pPr>
        <w:rPr>
          <w:rFonts w:ascii="黑体" w:hAnsi="黑体" w:eastAsia="黑体" w:cs="宋体"/>
          <w:bCs/>
          <w:color w:val="auto"/>
          <w:sz w:val="28"/>
          <w:szCs w:val="28"/>
          <w:highlight w:val="none"/>
        </w:rPr>
      </w:pPr>
      <w:bookmarkStart w:id="6" w:name="_Toc28359013"/>
      <w:bookmarkStart w:id="7" w:name="_Toc35393799"/>
      <w:bookmarkStart w:id="8" w:name="_Toc28359090"/>
      <w:bookmarkStart w:id="9" w:name="_Toc35393630"/>
      <w:r>
        <w:rPr>
          <w:rFonts w:hint="eastAsia" w:ascii="黑体" w:hAnsi="黑体" w:eastAsia="黑体" w:cs="宋体"/>
          <w:bCs/>
          <w:color w:val="auto"/>
          <w:sz w:val="28"/>
          <w:szCs w:val="28"/>
          <w:highlight w:val="none"/>
        </w:rPr>
        <w:t>二、申请人的资格要求：</w:t>
      </w:r>
      <w:bookmarkEnd w:id="6"/>
      <w:bookmarkEnd w:id="7"/>
      <w:bookmarkEnd w:id="8"/>
      <w:bookmarkEnd w:id="9"/>
      <w:bookmarkStart w:id="44" w:name="_GoBack"/>
      <w:bookmarkEnd w:id="44"/>
    </w:p>
    <w:p w14:paraId="071BD9D4">
      <w:pPr>
        <w:ind w:firstLine="565" w:firstLineChars="202"/>
        <w:rPr>
          <w:rFonts w:hint="eastAsia" w:ascii="仿宋" w:hAnsi="仿宋" w:eastAsia="仿宋"/>
          <w:color w:val="auto"/>
          <w:sz w:val="28"/>
          <w:szCs w:val="28"/>
          <w:highlight w:val="none"/>
          <w:lang w:eastAsia="zh-CN"/>
        </w:rPr>
      </w:pPr>
      <w:bookmarkStart w:id="10" w:name="_Toc28359091"/>
      <w:bookmarkStart w:id="11" w:name="_Toc35393631"/>
      <w:bookmarkStart w:id="12" w:name="_Toc28359014"/>
      <w:bookmarkStart w:id="13" w:name="_Toc35393800"/>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34B4C6F8">
      <w:pPr>
        <w:keepNext w:val="0"/>
        <w:keepLines w:val="0"/>
        <w:widowControl/>
        <w:suppressLineNumbers w:val="0"/>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017E7AB7">
      <w:pPr>
        <w:ind w:firstLine="565" w:firstLineChars="202"/>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588506DE">
      <w:pPr>
        <w:pStyle w:val="5"/>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0850813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0"/>
      <w:bookmarkEnd w:id="11"/>
      <w:bookmarkEnd w:id="12"/>
      <w:bookmarkEnd w:id="13"/>
    </w:p>
    <w:p w14:paraId="2D45DDB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239432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28800E1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25EAAC9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35BE6F48">
      <w:pPr>
        <w:rPr>
          <w:rFonts w:ascii="黑体" w:hAnsi="黑体" w:eastAsia="黑体" w:cs="宋体"/>
          <w:bCs/>
          <w:color w:val="auto"/>
          <w:sz w:val="28"/>
          <w:szCs w:val="28"/>
          <w:highlight w:val="none"/>
        </w:rPr>
      </w:pPr>
      <w:bookmarkStart w:id="14" w:name="_Toc35393801"/>
      <w:bookmarkStart w:id="15" w:name="_Toc28359092"/>
      <w:bookmarkStart w:id="16" w:name="_Toc28359015"/>
      <w:bookmarkStart w:id="17" w:name="_Toc35393632"/>
      <w:r>
        <w:rPr>
          <w:rFonts w:hint="eastAsia" w:ascii="黑体" w:hAnsi="黑体" w:eastAsia="黑体" w:cs="宋体"/>
          <w:bCs/>
          <w:color w:val="auto"/>
          <w:sz w:val="28"/>
          <w:szCs w:val="28"/>
          <w:highlight w:val="none"/>
        </w:rPr>
        <w:t>四、响应文件提交</w:t>
      </w:r>
      <w:bookmarkEnd w:id="14"/>
      <w:bookmarkEnd w:id="15"/>
      <w:bookmarkEnd w:id="16"/>
      <w:bookmarkEnd w:id="17"/>
    </w:p>
    <w:p w14:paraId="1FB428F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45</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732EEC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0A9BC387">
      <w:pPr>
        <w:rPr>
          <w:rFonts w:ascii="黑体" w:hAnsi="黑体" w:eastAsia="黑体" w:cs="宋体"/>
          <w:bCs/>
          <w:color w:val="auto"/>
          <w:sz w:val="28"/>
          <w:szCs w:val="28"/>
          <w:highlight w:val="none"/>
        </w:rPr>
      </w:pPr>
      <w:bookmarkStart w:id="18" w:name="_Toc35393802"/>
      <w:bookmarkStart w:id="19" w:name="_Toc28359016"/>
      <w:bookmarkStart w:id="20" w:name="_Toc35393633"/>
      <w:bookmarkStart w:id="21" w:name="_Toc28359093"/>
      <w:r>
        <w:rPr>
          <w:rFonts w:hint="eastAsia" w:ascii="黑体" w:hAnsi="黑体" w:eastAsia="黑体" w:cs="宋体"/>
          <w:bCs/>
          <w:color w:val="auto"/>
          <w:sz w:val="28"/>
          <w:szCs w:val="28"/>
          <w:highlight w:val="none"/>
        </w:rPr>
        <w:t>五、开启</w:t>
      </w:r>
      <w:bookmarkEnd w:id="18"/>
      <w:bookmarkEnd w:id="19"/>
      <w:bookmarkEnd w:id="20"/>
      <w:bookmarkEnd w:id="21"/>
    </w:p>
    <w:p w14:paraId="352F9E57">
      <w:pPr>
        <w:ind w:firstLine="565" w:firstLineChars="202"/>
        <w:rPr>
          <w:rFonts w:ascii="仿宋" w:hAnsi="仿宋" w:eastAsia="仿宋"/>
          <w:color w:val="auto"/>
          <w:sz w:val="28"/>
          <w:szCs w:val="28"/>
          <w:highlight w:val="none"/>
        </w:rPr>
      </w:pPr>
      <w:bookmarkStart w:id="22" w:name="_Toc28359017"/>
      <w:bookmarkStart w:id="23" w:name="_Toc35393634"/>
      <w:bookmarkStart w:id="24" w:name="_Toc28359094"/>
      <w:bookmarkStart w:id="25"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45</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21FCD46">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CFA9A7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2"/>
      <w:bookmarkEnd w:id="23"/>
      <w:bookmarkEnd w:id="24"/>
      <w:bookmarkEnd w:id="25"/>
    </w:p>
    <w:p w14:paraId="72F36E81">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588C03CE">
      <w:pPr>
        <w:numPr>
          <w:ilvl w:val="0"/>
          <w:numId w:val="1"/>
        </w:numPr>
        <w:rPr>
          <w:rFonts w:hint="eastAsia" w:ascii="黑体" w:hAnsi="黑体" w:eastAsia="黑体" w:cs="宋体"/>
          <w:bCs/>
          <w:color w:val="auto"/>
          <w:sz w:val="28"/>
          <w:szCs w:val="28"/>
          <w:highlight w:val="none"/>
        </w:rPr>
      </w:pPr>
      <w:bookmarkStart w:id="26" w:name="_Toc35393635"/>
      <w:bookmarkStart w:id="27" w:name="_Toc35393804"/>
      <w:r>
        <w:rPr>
          <w:rFonts w:hint="eastAsia" w:ascii="黑体" w:hAnsi="黑体" w:eastAsia="黑体" w:cs="宋体"/>
          <w:bCs/>
          <w:color w:val="auto"/>
          <w:sz w:val="28"/>
          <w:szCs w:val="28"/>
          <w:highlight w:val="none"/>
        </w:rPr>
        <w:t>其他补充事宜</w:t>
      </w:r>
      <w:bookmarkEnd w:id="26"/>
      <w:bookmarkEnd w:id="27"/>
    </w:p>
    <w:p w14:paraId="3CA1D1E0">
      <w:pPr>
        <w:pStyle w:val="5"/>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9F9E63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7947451">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354EC3A8">
      <w:pPr>
        <w:rPr>
          <w:rFonts w:ascii="黑体" w:hAnsi="黑体" w:eastAsia="黑体" w:cs="宋体"/>
          <w:bCs/>
          <w:color w:val="auto"/>
          <w:sz w:val="28"/>
          <w:szCs w:val="28"/>
          <w:highlight w:val="none"/>
        </w:rPr>
      </w:pPr>
      <w:bookmarkStart w:id="28" w:name="_Toc28359095"/>
      <w:bookmarkStart w:id="29" w:name="_Toc35393636"/>
      <w:bookmarkStart w:id="30" w:name="_Toc28359018"/>
      <w:bookmarkStart w:id="31"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8"/>
      <w:bookmarkEnd w:id="29"/>
      <w:bookmarkEnd w:id="30"/>
      <w:bookmarkEnd w:id="31"/>
    </w:p>
    <w:p w14:paraId="60B34DA5">
      <w:pPr>
        <w:ind w:firstLine="565" w:firstLineChars="202"/>
        <w:rPr>
          <w:rFonts w:ascii="仿宋" w:hAnsi="仿宋" w:eastAsia="仿宋" w:cs="宋体"/>
          <w:bCs/>
          <w:color w:val="auto"/>
          <w:sz w:val="28"/>
          <w:szCs w:val="28"/>
          <w:highlight w:val="none"/>
        </w:rPr>
      </w:pPr>
      <w:bookmarkStart w:id="32" w:name="_Toc35393637"/>
      <w:bookmarkStart w:id="33" w:name="_Toc35393806"/>
      <w:bookmarkStart w:id="34" w:name="_Toc28359096"/>
      <w:bookmarkStart w:id="35" w:name="_Toc28359019"/>
      <w:r>
        <w:rPr>
          <w:rFonts w:hint="eastAsia" w:ascii="仿宋" w:hAnsi="仿宋" w:eastAsia="仿宋" w:cs="宋体"/>
          <w:bCs/>
          <w:color w:val="auto"/>
          <w:sz w:val="28"/>
          <w:szCs w:val="28"/>
          <w:highlight w:val="none"/>
        </w:rPr>
        <w:t>1.采购人信息</w:t>
      </w:r>
      <w:bookmarkEnd w:id="32"/>
      <w:bookmarkEnd w:id="33"/>
      <w:bookmarkEnd w:id="34"/>
      <w:bookmarkEnd w:id="35"/>
    </w:p>
    <w:p w14:paraId="3F639319">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F5C99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5E16D9B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D253AD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36" w:name="_Toc35393638"/>
      <w:bookmarkStart w:id="37" w:name="_Toc28359097"/>
      <w:bookmarkStart w:id="38" w:name="_Toc35393807"/>
      <w:bookmarkStart w:id="39" w:name="_Toc28359020"/>
      <w:r>
        <w:rPr>
          <w:rFonts w:hint="eastAsia" w:ascii="仿宋" w:hAnsi="仿宋" w:eastAsia="仿宋"/>
          <w:color w:val="auto"/>
          <w:sz w:val="28"/>
          <w:szCs w:val="28"/>
          <w:highlight w:val="none"/>
          <w:lang w:val="en-US" w:eastAsia="zh-CN"/>
        </w:rPr>
        <w:t xml:space="preserve">17355618065 </w:t>
      </w:r>
    </w:p>
    <w:p w14:paraId="69639D75">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36"/>
      <w:bookmarkEnd w:id="37"/>
      <w:bookmarkEnd w:id="38"/>
      <w:bookmarkEnd w:id="39"/>
    </w:p>
    <w:p w14:paraId="79EBA21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435D3120">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0D3E8F0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0C55F622">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0" w:name="_Toc28359021"/>
      <w:bookmarkStart w:id="41" w:name="_Toc35393639"/>
      <w:bookmarkStart w:id="42" w:name="_Toc28359098"/>
      <w:bookmarkStart w:id="43" w:name="_Toc35393808"/>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7F8D56FB">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0"/>
      <w:bookmarkEnd w:id="41"/>
      <w:bookmarkEnd w:id="42"/>
      <w:bookmarkEnd w:id="43"/>
    </w:p>
    <w:p w14:paraId="5E601EF0">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6966D7D3">
      <w:pPr>
        <w:ind w:firstLine="560" w:firstLineChars="200"/>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B5AC7"/>
    <w:rsid w:val="7F1B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39"/>
    <w:pPr>
      <w:ind w:left="420"/>
      <w:jc w:val="left"/>
    </w:pPr>
    <w:rPr>
      <w:i/>
      <w:sz w:val="20"/>
    </w:rPr>
  </w:style>
  <w:style w:type="paragraph" w:customStyle="1" w:styleId="5">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2025-07-02T01:32:00Z</dcterms:created>
  <dc:creator>小阿☀️</dc:creator>
  <cp:lastModifiedBy>小阿☀️</cp:lastModifiedBy>
  <dcterms:modified xsi:type="dcterms:W3CDTF">2025-07-02T01:53:09Z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97FD034C8B3A4392BA1EEAEFEFF2F1CE_11</vt:lpwstr>
  </property>
  <property fmtid="{D5CDD505-2E9C-101B-9397-08002B2CF9AE}" pid="4" name="KSOTemplateDocerSaveRecord">
    <vt:lpwstr>eyJoZGlkIjoiZDcyMGRhMTQzNWY1OTk2ZDI4M2QyNjAwMTZiZGI5MDQiLCJ1c2VySWQiOiI3NDQ5NDIyODYifQ==</vt:lpwstr>
  </property>
</Properties>
</file>