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Theme="minorEastAsia" w:hAnsiTheme="minorEastAsia" w:eastAsiaTheme="minorEastAsia" w:cstheme="minorEastAsia"/>
          <w:b/>
          <w:sz w:val="48"/>
          <w:szCs w:val="48"/>
        </w:rPr>
      </w:pPr>
    </w:p>
    <w:p>
      <w:pPr>
        <w:spacing w:line="360" w:lineRule="auto"/>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2023年潜山市中医院检验外送项目</w:t>
      </w:r>
    </w:p>
    <w:p>
      <w:pPr>
        <w:spacing w:line="360" w:lineRule="auto"/>
        <w:jc w:val="center"/>
        <w:rPr>
          <w:rFonts w:asciiTheme="minorEastAsia" w:hAnsiTheme="minorEastAsia" w:eastAsiaTheme="minorEastAsia" w:cstheme="minorEastAsia"/>
          <w:b/>
          <w:sz w:val="110"/>
          <w:szCs w:val="110"/>
        </w:rPr>
      </w:pPr>
    </w:p>
    <w:p>
      <w:pPr>
        <w:spacing w:line="360" w:lineRule="auto"/>
        <w:jc w:val="center"/>
        <w:rPr>
          <w:rFonts w:asciiTheme="minorEastAsia" w:hAnsiTheme="minorEastAsia" w:eastAsiaTheme="minorEastAsia" w:cstheme="minorEastAsia"/>
          <w:b/>
          <w:sz w:val="110"/>
          <w:szCs w:val="110"/>
        </w:rPr>
      </w:pPr>
      <w:r>
        <w:rPr>
          <w:rFonts w:hint="eastAsia" w:asciiTheme="minorEastAsia" w:hAnsiTheme="minorEastAsia" w:eastAsiaTheme="minorEastAsia" w:cstheme="minorEastAsia"/>
          <w:b/>
          <w:sz w:val="110"/>
          <w:szCs w:val="110"/>
        </w:rPr>
        <w:t>招 标 文 件</w:t>
      </w:r>
    </w:p>
    <w:p>
      <w:pPr>
        <w:spacing w:line="360" w:lineRule="auto"/>
        <w:jc w:val="center"/>
        <w:rPr>
          <w:rFonts w:eastAsiaTheme="minorEastAsia"/>
          <w:b/>
          <w:sz w:val="24"/>
          <w:szCs w:val="32"/>
        </w:rPr>
      </w:pPr>
      <w:r>
        <w:rPr>
          <w:rFonts w:hint="eastAsia" w:asciiTheme="minorEastAsia" w:hAnsiTheme="minorEastAsia" w:eastAsiaTheme="minorEastAsia" w:cstheme="minorEastAsia"/>
          <w:b/>
          <w:sz w:val="24"/>
        </w:rPr>
        <w:t>项目编号：</w:t>
      </w:r>
      <w:r>
        <w:rPr>
          <w:rFonts w:hint="eastAsia" w:eastAsiaTheme="minorEastAsia"/>
          <w:b/>
          <w:sz w:val="24"/>
        </w:rPr>
        <w:t>皖TJ-CG23058</w:t>
      </w:r>
    </w:p>
    <w:p>
      <w:pPr>
        <w:spacing w:line="360" w:lineRule="auto"/>
        <w:jc w:val="center"/>
        <w:rPr>
          <w:rFonts w:asciiTheme="minorEastAsia" w:hAnsiTheme="minorEastAsia" w:eastAsiaTheme="minorEastAsia" w:cstheme="minorEastAsia"/>
          <w:b/>
          <w:sz w:val="24"/>
          <w:szCs w:val="32"/>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采   购   人：</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pacing w:val="20"/>
          <w:sz w:val="30"/>
          <w:szCs w:val="30"/>
          <w:u w:val="single"/>
        </w:rPr>
        <w:t xml:space="preserve"> 潜山市中医院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30"/>
          <w:szCs w:val="30"/>
        </w:rPr>
        <w:t>采购代理机构：</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2"/>
          <w:u w:val="single"/>
        </w:rPr>
        <w:t xml:space="preserve">安徽泰杰工程咨询有限公司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 xml:space="preserve">       </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rPr>
        <w:t>日  期：    年    月</w:t>
      </w:r>
    </w:p>
    <w:p>
      <w:pPr>
        <w:rPr>
          <w:rFonts w:asciiTheme="minorEastAsia" w:hAnsiTheme="minorEastAsia" w:eastAsiaTheme="minorEastAsia" w:cstheme="minorEastAsia"/>
          <w:b/>
          <w:sz w:val="36"/>
          <w:szCs w:val="36"/>
        </w:rPr>
      </w:pPr>
    </w:p>
    <w:p>
      <w:pPr>
        <w:pStyle w:val="44"/>
      </w:pPr>
    </w:p>
    <w:p>
      <w:pPr>
        <w:widowControl/>
        <w:spacing w:line="480" w:lineRule="auto"/>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重  要  提  醒</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1.组织、领导、实施恶意竞标、围标、串标、虚假投标、挂靠投标、出让资质等违法活动。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3.聚众围堵开、评标现场，干扰正常开评标秩序的行为。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5.伪造资质证书、证件、提供虚假材料进行投标，谋取不正当利益的违法行为。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8.利诱、欺骗采购人违反相关规定按其意图设置招标文件条款的违法违规行为。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9.窃取项目投标人报名情况、评标委员会组成人员等保密信息。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10.领导干部违反规定插手干预项目招投标活动。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11.干部职工在招投标活动中与黑恶势力勾结，充当保护伞。</w:t>
      </w: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pStyle w:val="44"/>
        <w:ind w:left="0" w:firstLine="0"/>
      </w:pP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二、请各投标人认真阅读招标文件，对下述事项予以重视：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1、请依据项目资格要求，自行核对营业执照合法有效。</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2、按照招标文件要求制作投标文件，投标文件创建标识码、文件制作机器码任一项一致的将不予通过符合性评审，并予以披露，记入不良行为记录。</w:t>
      </w:r>
    </w:p>
    <w:p>
      <w:pPr>
        <w:widowControl/>
        <w:spacing w:line="480" w:lineRule="auto"/>
        <w:ind w:firstLine="482" w:firstLineChars="200"/>
        <w:jc w:val="left"/>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4"/>
        </w:rPr>
        <w:t>3、对投标活动中可能发生的质疑、投诉行为，须依法在规定的时间内提出。</w:t>
      </w:r>
      <w:r>
        <w:rPr>
          <w:rFonts w:hint="eastAsia" w:asciiTheme="minorEastAsia" w:hAnsiTheme="minorEastAsia" w:eastAsiaTheme="minorEastAsia" w:cstheme="minorEastAsia"/>
          <w:b/>
          <w:kern w:val="0"/>
          <w:sz w:val="28"/>
          <w:szCs w:val="28"/>
        </w:rPr>
        <w:t xml:space="preserve">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4、本项目开评标期间，投标人必须保证联系电话、电子邮箱通畅，因投标人通讯不畅造成的不利后果由投标人自行承担。</w:t>
      </w:r>
    </w:p>
    <w:p>
      <w:pPr>
        <w:widowControl/>
        <w:spacing w:line="480" w:lineRule="auto"/>
        <w:ind w:firstLine="562" w:firstLineChars="200"/>
        <w:jc w:val="left"/>
        <w:rPr>
          <w:rFonts w:asciiTheme="minorEastAsia" w:hAnsiTheme="minorEastAsia" w:eastAsiaTheme="minorEastAsia" w:cstheme="minorEastAsia"/>
          <w:b/>
          <w:kern w:val="0"/>
          <w:sz w:val="28"/>
          <w:szCs w:val="28"/>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pStyle w:val="44"/>
        <w:rPr>
          <w:rFonts w:asciiTheme="minorEastAsia" w:hAnsiTheme="minorEastAsia" w:eastAsiaTheme="minorEastAsia" w:cstheme="minorEastAsia"/>
          <w:b/>
          <w:sz w:val="36"/>
          <w:szCs w:val="36"/>
        </w:rPr>
      </w:pPr>
    </w:p>
    <w:p>
      <w:pPr>
        <w:pStyle w:val="44"/>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outlineLvl w:val="0"/>
        <w:rPr>
          <w:rFonts w:asciiTheme="minorEastAsia" w:hAnsiTheme="minorEastAsia" w:eastAsiaTheme="minorEastAsia" w:cstheme="minorEastAsia"/>
          <w:b/>
          <w:sz w:val="36"/>
          <w:szCs w:val="36"/>
        </w:rPr>
      </w:pPr>
      <w:bookmarkStart w:id="0" w:name="_Toc2152"/>
      <w:bookmarkStart w:id="1" w:name="_Toc22580"/>
      <w:bookmarkStart w:id="2" w:name="_Toc24403"/>
      <w:bookmarkStart w:id="3" w:name="_Toc28107"/>
      <w:bookmarkStart w:id="4" w:name="_Toc18253"/>
      <w:bookmarkStart w:id="5" w:name="_Toc32396"/>
      <w:r>
        <w:rPr>
          <w:rFonts w:hint="eastAsia" w:asciiTheme="minorEastAsia" w:hAnsiTheme="minorEastAsia" w:eastAsiaTheme="minorEastAsia" w:cstheme="minorEastAsia"/>
          <w:b/>
          <w:sz w:val="36"/>
          <w:szCs w:val="36"/>
        </w:rPr>
        <w:t>目   录</w:t>
      </w:r>
      <w:bookmarkEnd w:id="0"/>
      <w:bookmarkEnd w:id="1"/>
      <w:bookmarkEnd w:id="2"/>
      <w:bookmarkEnd w:id="3"/>
      <w:bookmarkEnd w:id="4"/>
      <w:bookmarkEnd w:id="5"/>
    </w:p>
    <w:p>
      <w:pPr>
        <w:pStyle w:val="21"/>
        <w:tabs>
          <w:tab w:val="right" w:leader="dot" w:pos="9446"/>
          <w:tab w:val="clear" w:pos="1260"/>
          <w:tab w:val="clear" w:pos="906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fldChar w:fldCharType="begin"/>
      </w:r>
      <w:r>
        <w:instrText xml:space="preserve"> HYPERLINK \l "_Toc24403" </w:instrText>
      </w:r>
      <w:r>
        <w:fldChar w:fldCharType="separate"/>
      </w:r>
      <w:r>
        <w:rPr>
          <w:rFonts w:hint="eastAsia" w:asciiTheme="minorEastAsia" w:hAnsiTheme="minorEastAsia" w:eastAsiaTheme="minorEastAsia" w:cstheme="minorEastAsia"/>
          <w:szCs w:val="36"/>
        </w:rPr>
        <w:t>目   录</w:t>
      </w:r>
      <w:r>
        <w:tab/>
      </w:r>
      <w:r>
        <w:fldChar w:fldCharType="begin"/>
      </w:r>
      <w:r>
        <w:instrText xml:space="preserve"> PAGEREF _Toc24403 \h </w:instrText>
      </w:r>
      <w:r>
        <w:fldChar w:fldCharType="separate"/>
      </w:r>
      <w:r>
        <w:t>4</w:t>
      </w:r>
      <w:r>
        <w:fldChar w:fldCharType="end"/>
      </w:r>
      <w:r>
        <w:fldChar w:fldCharType="end"/>
      </w:r>
    </w:p>
    <w:p>
      <w:pPr>
        <w:pStyle w:val="21"/>
        <w:tabs>
          <w:tab w:val="right" w:leader="dot" w:pos="9446"/>
          <w:tab w:val="clear" w:pos="1260"/>
          <w:tab w:val="clear" w:pos="9060"/>
        </w:tabs>
      </w:pPr>
      <w:r>
        <w:fldChar w:fldCharType="begin"/>
      </w:r>
      <w:r>
        <w:instrText xml:space="preserve"> HYPERLINK \l "_Toc1034" </w:instrText>
      </w:r>
      <w:r>
        <w:fldChar w:fldCharType="separate"/>
      </w:r>
      <w:r>
        <w:rPr>
          <w:rFonts w:asciiTheme="minorEastAsia" w:hAnsiTheme="minorEastAsia" w:eastAsiaTheme="minorEastAsia" w:cstheme="minorEastAsia"/>
        </w:rPr>
        <w:t xml:space="preserve">第一章 </w:t>
      </w:r>
      <w:r>
        <w:rPr>
          <w:rFonts w:hint="eastAsia" w:asciiTheme="minorEastAsia" w:hAnsiTheme="minorEastAsia" w:eastAsiaTheme="minorEastAsia" w:cstheme="minorEastAsia"/>
        </w:rPr>
        <w:t>招标公告</w:t>
      </w:r>
      <w:r>
        <w:tab/>
      </w:r>
      <w:r>
        <w:fldChar w:fldCharType="begin"/>
      </w:r>
      <w:r>
        <w:instrText xml:space="preserve"> PAGEREF _Toc1034 \h </w:instrText>
      </w:r>
      <w:r>
        <w:fldChar w:fldCharType="separate"/>
      </w:r>
      <w:r>
        <w:t>5</w:t>
      </w:r>
      <w:r>
        <w:fldChar w:fldCharType="end"/>
      </w:r>
      <w:r>
        <w:fldChar w:fldCharType="end"/>
      </w:r>
    </w:p>
    <w:p>
      <w:pPr>
        <w:pStyle w:val="21"/>
        <w:tabs>
          <w:tab w:val="right" w:leader="dot" w:pos="9446"/>
          <w:tab w:val="clear" w:pos="1260"/>
          <w:tab w:val="clear" w:pos="9060"/>
        </w:tabs>
      </w:pPr>
      <w:r>
        <w:fldChar w:fldCharType="begin"/>
      </w:r>
      <w:r>
        <w:instrText xml:space="preserve"> HYPERLINK \l "_Toc2782" </w:instrText>
      </w:r>
      <w:r>
        <w:fldChar w:fldCharType="separate"/>
      </w:r>
      <w:r>
        <w:rPr>
          <w:rFonts w:asciiTheme="minorEastAsia" w:hAnsiTheme="minorEastAsia" w:eastAsiaTheme="minorEastAsia" w:cstheme="minorEastAsia"/>
        </w:rPr>
        <w:t xml:space="preserve">第二章 </w:t>
      </w:r>
      <w:r>
        <w:rPr>
          <w:rFonts w:hint="eastAsia" w:asciiTheme="minorEastAsia" w:hAnsiTheme="minorEastAsia" w:eastAsiaTheme="minorEastAsia" w:cstheme="minorEastAsia"/>
        </w:rPr>
        <w:t>投标人须知</w:t>
      </w:r>
      <w:r>
        <w:tab/>
      </w:r>
      <w:r>
        <w:fldChar w:fldCharType="begin"/>
      </w:r>
      <w:r>
        <w:instrText xml:space="preserve"> PAGEREF _Toc2782 \h </w:instrText>
      </w:r>
      <w:r>
        <w:fldChar w:fldCharType="separate"/>
      </w:r>
      <w:r>
        <w:t>8</w:t>
      </w:r>
      <w:r>
        <w:fldChar w:fldCharType="end"/>
      </w:r>
      <w:r>
        <w:fldChar w:fldCharType="end"/>
      </w:r>
    </w:p>
    <w:p>
      <w:pPr>
        <w:pStyle w:val="21"/>
        <w:tabs>
          <w:tab w:val="right" w:leader="dot" w:pos="9446"/>
          <w:tab w:val="clear" w:pos="1260"/>
          <w:tab w:val="clear" w:pos="9060"/>
        </w:tabs>
      </w:pPr>
      <w:r>
        <w:fldChar w:fldCharType="begin"/>
      </w:r>
      <w:r>
        <w:instrText xml:space="preserve"> HYPERLINK \l "_Toc2478" </w:instrText>
      </w:r>
      <w:r>
        <w:fldChar w:fldCharType="separate"/>
      </w:r>
      <w:r>
        <w:rPr>
          <w:rFonts w:asciiTheme="minorEastAsia" w:hAnsiTheme="minorEastAsia" w:eastAsiaTheme="minorEastAsia" w:cstheme="minorEastAsia"/>
        </w:rPr>
        <w:t xml:space="preserve">第三章 </w:t>
      </w:r>
      <w:r>
        <w:rPr>
          <w:rFonts w:hint="eastAsia" w:asciiTheme="minorEastAsia" w:hAnsiTheme="minorEastAsia" w:eastAsiaTheme="minorEastAsia" w:cstheme="minorEastAsia"/>
        </w:rPr>
        <w:t>评标方法和标准</w:t>
      </w:r>
      <w:r>
        <w:tab/>
      </w:r>
      <w:r>
        <w:fldChar w:fldCharType="begin"/>
      </w:r>
      <w:r>
        <w:instrText xml:space="preserve"> PAGEREF _Toc2478 \h </w:instrText>
      </w:r>
      <w:r>
        <w:fldChar w:fldCharType="separate"/>
      </w:r>
      <w:r>
        <w:t>19</w:t>
      </w:r>
      <w:r>
        <w:fldChar w:fldCharType="end"/>
      </w:r>
      <w:r>
        <w:fldChar w:fldCharType="end"/>
      </w:r>
    </w:p>
    <w:p>
      <w:pPr>
        <w:pStyle w:val="21"/>
        <w:tabs>
          <w:tab w:val="right" w:leader="dot" w:pos="9446"/>
          <w:tab w:val="clear" w:pos="1260"/>
          <w:tab w:val="clear" w:pos="9060"/>
        </w:tabs>
      </w:pPr>
      <w:r>
        <w:fldChar w:fldCharType="begin"/>
      </w:r>
      <w:r>
        <w:instrText xml:space="preserve"> HYPERLINK \l "_Toc15562" </w:instrText>
      </w:r>
      <w:r>
        <w:fldChar w:fldCharType="separate"/>
      </w:r>
      <w:r>
        <w:rPr>
          <w:rFonts w:asciiTheme="minorEastAsia" w:hAnsiTheme="minorEastAsia" w:eastAsiaTheme="minorEastAsia" w:cstheme="minorEastAsia"/>
        </w:rPr>
        <w:t xml:space="preserve">第四章 </w:t>
      </w:r>
      <w:r>
        <w:rPr>
          <w:rFonts w:hint="eastAsia" w:asciiTheme="minorEastAsia" w:hAnsiTheme="minorEastAsia" w:eastAsiaTheme="minorEastAsia" w:cstheme="minorEastAsia"/>
        </w:rPr>
        <w:t>采购需求</w:t>
      </w:r>
      <w:r>
        <w:tab/>
      </w:r>
      <w:r>
        <w:fldChar w:fldCharType="begin"/>
      </w:r>
      <w:r>
        <w:instrText xml:space="preserve"> PAGEREF _Toc15562 \h </w:instrText>
      </w:r>
      <w:r>
        <w:fldChar w:fldCharType="separate"/>
      </w:r>
      <w:r>
        <w:t>25</w:t>
      </w:r>
      <w:r>
        <w:fldChar w:fldCharType="end"/>
      </w:r>
      <w:r>
        <w:fldChar w:fldCharType="end"/>
      </w:r>
    </w:p>
    <w:p>
      <w:pPr>
        <w:pStyle w:val="21"/>
        <w:tabs>
          <w:tab w:val="right" w:leader="dot" w:pos="9446"/>
          <w:tab w:val="clear" w:pos="1260"/>
          <w:tab w:val="clear" w:pos="9060"/>
        </w:tabs>
      </w:pPr>
      <w:r>
        <w:fldChar w:fldCharType="begin"/>
      </w:r>
      <w:r>
        <w:instrText xml:space="preserve"> HYPERLINK \l "_Toc6270" </w:instrText>
      </w:r>
      <w:r>
        <w:fldChar w:fldCharType="separate"/>
      </w:r>
      <w:r>
        <w:rPr>
          <w:rFonts w:asciiTheme="minorEastAsia" w:hAnsiTheme="minorEastAsia" w:eastAsiaTheme="minorEastAsia" w:cstheme="minorEastAsia"/>
        </w:rPr>
        <w:t xml:space="preserve">第五章 </w:t>
      </w:r>
      <w:r>
        <w:rPr>
          <w:rFonts w:hint="eastAsia" w:asciiTheme="minorEastAsia" w:hAnsiTheme="minorEastAsia" w:eastAsiaTheme="minorEastAsia" w:cstheme="minorEastAsia"/>
        </w:rPr>
        <w:t>政府采购合同主要条款</w:t>
      </w:r>
      <w:r>
        <w:tab/>
      </w:r>
      <w:r>
        <w:fldChar w:fldCharType="begin"/>
      </w:r>
      <w:r>
        <w:instrText xml:space="preserve"> PAGEREF _Toc6270 \h </w:instrText>
      </w:r>
      <w:r>
        <w:fldChar w:fldCharType="separate"/>
      </w:r>
      <w:r>
        <w:t>31</w:t>
      </w:r>
      <w:r>
        <w:fldChar w:fldCharType="end"/>
      </w:r>
      <w:r>
        <w:fldChar w:fldCharType="end"/>
      </w:r>
    </w:p>
    <w:p>
      <w:pPr>
        <w:pStyle w:val="21"/>
        <w:tabs>
          <w:tab w:val="right" w:leader="dot" w:pos="9446"/>
          <w:tab w:val="clear" w:pos="1260"/>
          <w:tab w:val="clear" w:pos="9060"/>
        </w:tabs>
      </w:pPr>
      <w:r>
        <w:fldChar w:fldCharType="begin"/>
      </w:r>
      <w:r>
        <w:instrText xml:space="preserve"> HYPERLINK \l "_Toc23354" </w:instrText>
      </w:r>
      <w:r>
        <w:fldChar w:fldCharType="separate"/>
      </w:r>
      <w:r>
        <w:rPr>
          <w:rFonts w:asciiTheme="minorEastAsia" w:hAnsiTheme="minorEastAsia" w:eastAsiaTheme="minorEastAsia" w:cstheme="minorEastAsia"/>
        </w:rPr>
        <w:t xml:space="preserve">第六章 </w:t>
      </w:r>
      <w:r>
        <w:rPr>
          <w:rFonts w:hint="eastAsia" w:asciiTheme="minorEastAsia" w:hAnsiTheme="minorEastAsia" w:eastAsiaTheme="minorEastAsia" w:cstheme="minorEastAsia"/>
        </w:rPr>
        <w:t>投标文件格式</w:t>
      </w:r>
      <w:r>
        <w:tab/>
      </w:r>
      <w:r>
        <w:fldChar w:fldCharType="begin"/>
      </w:r>
      <w:r>
        <w:instrText xml:space="preserve"> PAGEREF _Toc23354 \h </w:instrText>
      </w:r>
      <w:r>
        <w:fldChar w:fldCharType="separate"/>
      </w:r>
      <w:r>
        <w:t>40</w:t>
      </w:r>
      <w:r>
        <w:fldChar w:fldCharType="end"/>
      </w:r>
      <w:r>
        <w:fldChar w:fldCharType="end"/>
      </w:r>
    </w:p>
    <w:p>
      <w:pP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pStyle w:val="14"/>
        <w:tabs>
          <w:tab w:val="right" w:leader="dot" w:pos="9060"/>
        </w:tabs>
        <w:ind w:left="840"/>
        <w:outlineLvl w:val="0"/>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right"/>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44"/>
      </w:pPr>
    </w:p>
    <w:p>
      <w:pPr>
        <w:pStyle w:val="5"/>
        <w:numPr>
          <w:ilvl w:val="0"/>
          <w:numId w:val="1"/>
        </w:numPr>
        <w:rPr>
          <w:rFonts w:asciiTheme="minorEastAsia" w:hAnsiTheme="minorEastAsia" w:eastAsiaTheme="minorEastAsia" w:cstheme="minorEastAsia"/>
        </w:rPr>
      </w:pPr>
      <w:bookmarkStart w:id="6" w:name="_Toc16671"/>
      <w:bookmarkStart w:id="7" w:name="_Toc1034"/>
      <w:bookmarkStart w:id="8" w:name="_Toc22581"/>
      <w:r>
        <w:rPr>
          <w:rFonts w:hint="eastAsia" w:asciiTheme="minorEastAsia" w:hAnsiTheme="minorEastAsia" w:eastAsiaTheme="minorEastAsia" w:cstheme="minorEastAsia"/>
        </w:rPr>
        <w:t>招标公告</w:t>
      </w:r>
      <w:bookmarkEnd w:id="6"/>
      <w:bookmarkEnd w:id="7"/>
      <w:bookmarkEnd w:id="8"/>
    </w:p>
    <w:p>
      <w:pPr>
        <w:jc w:val="center"/>
        <w:rPr>
          <w:rFonts w:asciiTheme="minorEastAsia" w:hAnsiTheme="minorEastAsia" w:eastAsiaTheme="minorEastAsia" w:cstheme="minorEastAsia"/>
          <w:bCs/>
          <w:sz w:val="28"/>
          <w:szCs w:val="28"/>
        </w:rPr>
      </w:pPr>
      <w:bookmarkStart w:id="9" w:name="_Toc35393789"/>
      <w:bookmarkStart w:id="10" w:name="_Toc28359001"/>
      <w:bookmarkStart w:id="11" w:name="OLE_LINK1"/>
      <w:r>
        <w:rPr>
          <w:rFonts w:hint="eastAsia" w:asciiTheme="minorEastAsia" w:hAnsiTheme="minorEastAsia" w:eastAsiaTheme="minorEastAsia" w:cstheme="minorEastAsia"/>
          <w:b/>
          <w:bCs/>
          <w:sz w:val="28"/>
          <w:szCs w:val="28"/>
          <w:u w:val="single"/>
        </w:rPr>
        <w:t xml:space="preserve">2023年潜山市中医院检验外送项目 </w:t>
      </w:r>
      <w:r>
        <w:rPr>
          <w:rFonts w:hint="eastAsia" w:asciiTheme="minorEastAsia" w:hAnsiTheme="minorEastAsia" w:eastAsiaTheme="minorEastAsia" w:cstheme="minorEastAsia"/>
          <w:bCs/>
          <w:sz w:val="28"/>
          <w:szCs w:val="28"/>
        </w:rPr>
        <w:t xml:space="preserve"> 招标公告</w:t>
      </w:r>
      <w:bookmarkEnd w:id="9"/>
      <w:bookmarkEnd w:id="10"/>
    </w:p>
    <w:tbl>
      <w:tblPr>
        <w:tblStyle w:val="27"/>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sz w:val="24"/>
              </w:rPr>
            </w:pPr>
            <w:r>
              <w:rPr>
                <w:rFonts w:hint="eastAsia" w:asciiTheme="minorEastAsia" w:hAnsiTheme="minorEastAsia" w:eastAsiaTheme="minorEastAsia" w:cstheme="minorEastAsia"/>
                <w:sz w:val="24"/>
              </w:rPr>
              <w:t> </w:t>
            </w:r>
            <w:r>
              <w:rPr>
                <w:rFonts w:hint="eastAsia" w:ascii="宋体" w:hAnsi="宋体" w:cs="宋体"/>
                <w:sz w:val="24"/>
              </w:rPr>
              <w:t>项目概况</w:t>
            </w:r>
          </w:p>
          <w:p>
            <w:pPr>
              <w:rPr>
                <w:rFonts w:asciiTheme="minorEastAsia" w:hAnsiTheme="minorEastAsia" w:eastAsiaTheme="minorEastAsia" w:cstheme="minorEastAsia"/>
                <w:sz w:val="24"/>
              </w:rPr>
            </w:pPr>
            <w:r>
              <w:rPr>
                <w:rFonts w:hint="eastAsia" w:ascii="宋体" w:hAnsi="宋体" w:cs="宋体"/>
                <w:b/>
                <w:sz w:val="24"/>
                <w:u w:val="single"/>
              </w:rPr>
              <w:t xml:space="preserve">2023年潜山市中医院检验外送项目 </w:t>
            </w:r>
            <w:r>
              <w:rPr>
                <w:rFonts w:hint="eastAsia" w:ascii="宋体" w:hAnsi="宋体" w:cs="宋体"/>
                <w:sz w:val="24"/>
              </w:rPr>
              <w:t>招标项目的潜在供应商应进行报名。报名成功后领取招标文件及其它资料（含澄清和补充说明等），并于</w:t>
            </w:r>
            <w:r>
              <w:rPr>
                <w:rFonts w:hint="eastAsia" w:ascii="宋体" w:hAnsi="宋体" w:cs="宋体"/>
                <w:b/>
                <w:color w:val="FF0000"/>
                <w:sz w:val="24"/>
                <w:u w:val="single"/>
              </w:rPr>
              <w:t>2023年7月 0</w:t>
            </w:r>
            <w:r>
              <w:rPr>
                <w:rFonts w:hint="eastAsia" w:ascii="宋体" w:hAnsi="宋体" w:cs="宋体"/>
                <w:b/>
                <w:color w:val="FF0000"/>
                <w:sz w:val="24"/>
                <w:u w:val="single"/>
                <w:lang w:val="en-US" w:eastAsia="zh-CN"/>
              </w:rPr>
              <w:t>4</w:t>
            </w:r>
            <w:r>
              <w:rPr>
                <w:rFonts w:hint="eastAsia" w:ascii="宋体" w:hAnsi="宋体" w:cs="宋体"/>
                <w:b/>
                <w:color w:val="FF0000"/>
                <w:sz w:val="24"/>
                <w:u w:val="single"/>
              </w:rPr>
              <w:t xml:space="preserve"> 日 9 时 30 </w:t>
            </w:r>
            <w:r>
              <w:rPr>
                <w:rFonts w:hint="eastAsia" w:ascii="宋体" w:hAnsi="宋体" w:cs="宋体"/>
                <w:b/>
                <w:sz w:val="24"/>
                <w:u w:val="single"/>
              </w:rPr>
              <w:t>分</w:t>
            </w:r>
            <w:r>
              <w:rPr>
                <w:rFonts w:hint="eastAsia" w:ascii="宋体" w:hAnsi="宋体" w:cs="宋体"/>
                <w:sz w:val="24"/>
              </w:rPr>
              <w:t>（北京时间）前递交投标文件。</w:t>
            </w:r>
          </w:p>
        </w:tc>
      </w:tr>
    </w:tbl>
    <w:p>
      <w:pP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 </w:t>
      </w:r>
      <w:bookmarkStart w:id="12" w:name="_Toc28359079"/>
      <w:bookmarkStart w:id="13" w:name="_Toc35393790"/>
      <w:bookmarkStart w:id="14" w:name="_Toc28359002"/>
      <w:bookmarkStart w:id="15" w:name="_Toc35393621"/>
      <w:bookmarkStart w:id="16" w:name="_Hlk24379207"/>
      <w:r>
        <w:rPr>
          <w:rFonts w:hint="eastAsia" w:asciiTheme="minorEastAsia" w:hAnsiTheme="minorEastAsia" w:eastAsiaTheme="minorEastAsia" w:cstheme="minorEastAsia"/>
          <w:bCs/>
          <w:sz w:val="24"/>
        </w:rPr>
        <w:t>一、项目基本情况</w:t>
      </w:r>
      <w:bookmarkEnd w:id="12"/>
      <w:bookmarkEnd w:id="13"/>
      <w:bookmarkEnd w:id="14"/>
      <w:bookmarkEnd w:id="15"/>
    </w:p>
    <w:bookmarkEnd w:id="11"/>
    <w:p>
      <w:pPr>
        <w:ind w:firstLine="484" w:firstLineChars="202"/>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项目编号：</w:t>
      </w:r>
      <w:r>
        <w:rPr>
          <w:rFonts w:hint="eastAsia" w:eastAsiaTheme="minorEastAsia"/>
          <w:b/>
          <w:sz w:val="24"/>
        </w:rPr>
        <w:t>皖TJ-CG23058</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b/>
          <w:bCs/>
          <w:sz w:val="24"/>
          <w:u w:val="single"/>
        </w:rPr>
        <w:t>2023年潜山市中医院检验外送项目</w:t>
      </w:r>
    </w:p>
    <w:bookmarkEnd w:id="16"/>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资金来源：自筹</w:t>
      </w:r>
    </w:p>
    <w:p>
      <w:pPr>
        <w:ind w:firstLine="480" w:firstLineChars="200"/>
        <w:rPr>
          <w:rFonts w:ascii="宋体" w:hAnsi="宋体"/>
          <w:sz w:val="24"/>
        </w:rPr>
      </w:pPr>
      <w:r>
        <w:rPr>
          <w:rFonts w:hint="eastAsia" w:ascii="宋体" w:hAnsi="宋体"/>
          <w:sz w:val="24"/>
        </w:rPr>
        <w:t>最高投标费率：23%</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采购需求：详见附件1服务需求及技术要求</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标段（包别）划分：一个包</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评标办法： 综合评分法     </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合同履行期限：自合同签订之日起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color w:val="FF0000"/>
          <w:sz w:val="24"/>
          <w:u w:val="single"/>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本项目不接受联合体投标。</w:t>
      </w:r>
    </w:p>
    <w:p>
      <w:pPr>
        <w:rPr>
          <w:rFonts w:asciiTheme="minorEastAsia" w:hAnsiTheme="minorEastAsia" w:eastAsiaTheme="minorEastAsia" w:cstheme="minorEastAsia"/>
          <w:bCs/>
          <w:sz w:val="24"/>
        </w:rPr>
      </w:pPr>
      <w:bookmarkStart w:id="17" w:name="_Toc35393622"/>
      <w:bookmarkStart w:id="18" w:name="_Toc28359080"/>
      <w:bookmarkStart w:id="19" w:name="_Toc35393791"/>
      <w:bookmarkStart w:id="20" w:name="_Toc28359003"/>
      <w:r>
        <w:rPr>
          <w:rFonts w:hint="eastAsia" w:asciiTheme="minorEastAsia" w:hAnsiTheme="minorEastAsia" w:eastAsiaTheme="minorEastAsia" w:cstheme="minorEastAsia"/>
          <w:bCs/>
          <w:sz w:val="24"/>
        </w:rPr>
        <w:t>二、申请人的资格要求：</w:t>
      </w:r>
      <w:bookmarkEnd w:id="17"/>
      <w:bookmarkEnd w:id="18"/>
      <w:bookmarkEnd w:id="19"/>
      <w:bookmarkEnd w:id="2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spacing w:line="420" w:lineRule="exact"/>
        <w:ind w:firstLine="480" w:firstLineChars="200"/>
        <w:rPr>
          <w:rFonts w:asciiTheme="minorEastAsia" w:hAnsiTheme="minorEastAsia" w:eastAsiaTheme="minorEastAsia" w:cstheme="minorEastAsia"/>
          <w:sz w:val="24"/>
        </w:rPr>
      </w:pPr>
      <w:bookmarkStart w:id="21" w:name="_Toc28359081"/>
      <w:bookmarkStart w:id="22" w:name="_Toc28359004"/>
      <w:r>
        <w:rPr>
          <w:rFonts w:hint="eastAsia" w:asciiTheme="minorEastAsia" w:hAnsiTheme="minorEastAsia" w:eastAsiaTheme="minorEastAsia" w:cstheme="minorEastAsia"/>
          <w:sz w:val="24"/>
        </w:rPr>
        <w:t>2.落实政府采购政策需满足的资格要求：/</w:t>
      </w:r>
    </w:p>
    <w:p>
      <w:pPr>
        <w:pStyle w:val="57"/>
        <w:spacing w:after="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pPr>
        <w:pStyle w:val="57"/>
        <w:spacing w:after="0"/>
        <w:ind w:firstLine="480" w:firstLineChars="200"/>
        <w:rPr>
          <w:rFonts w:asciiTheme="minorEastAsia" w:hAnsiTheme="minorEastAsia" w:eastAsiaTheme="minorEastAsia" w:cstheme="minorEastAsia"/>
          <w:kern w:val="2"/>
          <w:sz w:val="24"/>
          <w:szCs w:val="24"/>
        </w:rPr>
      </w:pPr>
      <w:bookmarkStart w:id="23" w:name="_Toc35393623"/>
      <w:bookmarkStart w:id="24" w:name="_Toc35393792"/>
      <w:r>
        <w:rPr>
          <w:rFonts w:hint="eastAsia" w:asciiTheme="minorEastAsia" w:hAnsiTheme="minorEastAsia" w:eastAsiaTheme="minorEastAsia" w:cstheme="minorEastAsia"/>
          <w:kern w:val="2"/>
          <w:sz w:val="24"/>
          <w:szCs w:val="24"/>
        </w:rPr>
        <w:t>（1）供应商必须具有合法有效的营业执照，营业执照注明的经营范围含有本次采购相关内容。</w:t>
      </w:r>
    </w:p>
    <w:p>
      <w:pPr>
        <w:pStyle w:val="57"/>
        <w:spacing w:after="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（2）供应商须具有以下有效的证书：中国合格评定国家认可委员会颁发的符合ISO15189实验室认可证书。</w:t>
      </w:r>
    </w:p>
    <w:p>
      <w:pPr>
        <w:pStyle w:val="22"/>
        <w:widowControl/>
        <w:shd w:val="clear" w:color="auto" w:fill="FFFFFF"/>
        <w:spacing w:line="50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（3）供应商存在以下不良信用记录情形之一的，不得推荐为中标候选供应商，不得确定为中标供应商：</w:t>
      </w:r>
    </w:p>
    <w:p>
      <w:pPr>
        <w:spacing w:line="400" w:lineRule="exact"/>
        <w:ind w:firstLine="480" w:firstLineChars="200"/>
        <w:rPr>
          <w:rFonts w:ascii="宋体" w:hAnsi="宋体" w:cs="宋体"/>
          <w:sz w:val="24"/>
        </w:rPr>
      </w:pPr>
      <w:r>
        <w:rPr>
          <w:rFonts w:hint="eastAsia" w:ascii="宋体" w:hAnsi="宋体" w:cs="宋体"/>
          <w:sz w:val="24"/>
        </w:rPr>
        <w:t>①供应商（包括供应商分公司或非法人性质分支机构等）或其法定代表人被人民法院列入失信被执行人的(核查网址：http://zxgk.court.gov.cn/)；</w:t>
      </w:r>
    </w:p>
    <w:p>
      <w:pPr>
        <w:spacing w:line="400" w:lineRule="exact"/>
        <w:ind w:firstLine="480" w:firstLineChars="200"/>
        <w:rPr>
          <w:rFonts w:ascii="宋体" w:hAnsi="宋体" w:cs="宋体"/>
          <w:sz w:val="24"/>
        </w:rPr>
      </w:pPr>
      <w:r>
        <w:rPr>
          <w:rFonts w:hint="eastAsia" w:ascii="宋体" w:hAnsi="宋体" w:cs="宋体"/>
          <w:sz w:val="24"/>
        </w:rPr>
        <w:t>②供应商（包括供应商分公司或非法人性质分支机构等）被税务部门列入重大税收违法案件当事人名单的（核查网址：http://www.chinatax.gov.cn）；</w:t>
      </w:r>
    </w:p>
    <w:p>
      <w:pPr>
        <w:spacing w:line="400" w:lineRule="exact"/>
        <w:ind w:firstLine="480" w:firstLineChars="200"/>
        <w:rPr>
          <w:rFonts w:ascii="宋体" w:hAnsi="宋体" w:cs="宋体"/>
          <w:sz w:val="24"/>
        </w:rPr>
      </w:pPr>
      <w:r>
        <w:rPr>
          <w:rFonts w:hint="eastAsia" w:ascii="宋体" w:hAnsi="宋体" w:cs="宋体"/>
          <w:sz w:val="24"/>
        </w:rPr>
        <w:t>③供应商（包括供应商分公司或非法人性质分支机构等）被政府采购监管部门列入政府采购严重违法失信行为记录名单的（信用中国、中国政府采购网 核查网址：http://www.creditchina.gov.cn/、http://www.ccgp.gov.cn/）；</w:t>
      </w:r>
    </w:p>
    <w:p>
      <w:pPr>
        <w:spacing w:line="400" w:lineRule="exact"/>
        <w:ind w:firstLine="240" w:firstLineChars="100"/>
        <w:rPr>
          <w:rFonts w:ascii="宋体" w:hAnsi="宋体" w:cs="宋体"/>
          <w:sz w:val="24"/>
        </w:rPr>
      </w:pPr>
      <w:r>
        <w:rPr>
          <w:rFonts w:hint="eastAsia" w:ascii="宋体" w:hAnsi="宋体" w:cs="宋体"/>
          <w:sz w:val="24"/>
        </w:rPr>
        <w:t>（4）供应商（包括供应商分公司或非法人性质分支机构等）经营异常名录核查（核查网址：http://www.gsxt.gov.cn/index.html）：</w:t>
      </w:r>
    </w:p>
    <w:p>
      <w:pPr>
        <w:spacing w:line="400" w:lineRule="exact"/>
        <w:ind w:firstLine="480" w:firstLineChars="200"/>
        <w:rPr>
          <w:rFonts w:ascii="宋体" w:hAnsi="宋体" w:cs="宋体"/>
          <w:sz w:val="24"/>
        </w:rPr>
      </w:pPr>
      <w:r>
        <w:rPr>
          <w:rFonts w:hint="eastAsia" w:ascii="宋体" w:hAnsi="宋体" w:cs="宋体"/>
          <w:sz w:val="24"/>
        </w:rPr>
        <w:t>①供应商（不包括供应商分公司或非法人性质分支机构等）被登记机关列入经营异常名录或严重违法失信企业名单（黑名单）信息的，不得推荐为成交候选供应商，不得确定为成交供应商；</w:t>
      </w:r>
    </w:p>
    <w:p>
      <w:pPr>
        <w:spacing w:line="400" w:lineRule="exact"/>
        <w:ind w:firstLine="480" w:firstLineChars="200"/>
        <w:rPr>
          <w:rFonts w:ascii="宋体" w:hAnsi="宋体" w:cs="宋体"/>
          <w:sz w:val="24"/>
        </w:rPr>
      </w:pPr>
      <w:r>
        <w:rPr>
          <w:rFonts w:hint="eastAsia" w:ascii="宋体" w:hAnsi="宋体" w:cs="宋体"/>
          <w:sz w:val="24"/>
        </w:rPr>
        <w:t>②若供应商的分公司或非法人性质分支机构被登记机关列入经营异常名录的不作为否决条件，但是将会在招标文件评标办法中予以考量[以投标截止时间为查询截止日。如供应商分公司或非法人性质分支机构有一条经营异常名录的，扣0.1分；如供应商分公司或非法人性质分支机构有一条严重违法失信企业名单（黑名单）信息的，扣0.2分；本项最高扣2分，若供应商分公司或非法人性质分支机构已办理注销的不予扣分]，具体见招标文件。</w:t>
      </w:r>
    </w:p>
    <w:p>
      <w:pPr>
        <w:spacing w:line="400" w:lineRule="exact"/>
        <w:ind w:firstLine="240" w:firstLineChars="100"/>
        <w:rPr>
          <w:rFonts w:ascii="宋体" w:hAnsi="宋体" w:cs="宋体"/>
          <w:sz w:val="24"/>
        </w:rPr>
      </w:pPr>
      <w:r>
        <w:rPr>
          <w:rFonts w:hint="eastAsia" w:ascii="宋体" w:hAnsi="宋体" w:cs="宋体"/>
          <w:sz w:val="24"/>
        </w:rPr>
        <w:t>（5）供应商不良行为记录查询（核查网址：http://aqggzy.anqing.gov.cn/）：供应商被安庆市（含五县、桐城市、潜山市）公共资源交易监督管理部门记不良行为记录的，不作为否决条件，但是将会在招标文件评标办法中予以考量[a、自2018年7月1日起至投标截止日（含)，未被安庆市（含五县、桐城市、潜山市）公共资源交易监督管理部门记不良行为记录的，得2分；b、自2018年7月1日起至投标截止日（含)，被安庆市（含五县、桐城市、潜山市）公共资源交易监督管理部门记不良行为记录，但投标截止日不在公示有效期内(公示有效期即限制行为开始时间至限制行为结束时间)的得1分﹔c、自2018年7月1日起至投标截止日（含)，被安庆市（含五县、桐城市、潜山市）公共资源交易监督管理部门记不良行为记录且投标截止日在公示有效期内(公示有效期即限制行为开始时间至限制行为结束时间)的得0分；d、2018年7月1日起至投标截止日(含），累计被安庆市(含五县、桐城市、潜山市）公共资源交易监督管理部门记2次及以上不良行为记录的得0分）] 具体见招标文件。</w:t>
      </w:r>
    </w:p>
    <w:p>
      <w:pPr>
        <w:pStyle w:val="22"/>
        <w:widowControl/>
        <w:numPr>
          <w:ilvl w:val="0"/>
          <w:numId w:val="2"/>
        </w:numPr>
        <w:spacing w:line="50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本项目不接受联合体参与采购活动；</w:t>
      </w:r>
    </w:p>
    <w:bookmarkEnd w:id="21"/>
    <w:bookmarkEnd w:id="22"/>
    <w:bookmarkEnd w:id="23"/>
    <w:bookmarkEnd w:id="24"/>
    <w:p>
      <w:pPr>
        <w:keepNext/>
        <w:keepLines/>
        <w:outlineLvl w:val="1"/>
        <w:rPr>
          <w:rFonts w:ascii="宋体" w:hAnsi="宋体" w:cs="宋体"/>
          <w:b/>
          <w:bCs/>
          <w:sz w:val="24"/>
        </w:rPr>
      </w:pPr>
      <w:bookmarkStart w:id="25" w:name="_Toc68592963"/>
      <w:bookmarkStart w:id="26" w:name="_Toc35393624"/>
      <w:bookmarkStart w:id="27" w:name="_Toc35393793"/>
      <w:bookmarkStart w:id="28" w:name="_Toc28359082"/>
      <w:bookmarkStart w:id="29" w:name="_Toc28359005"/>
      <w:r>
        <w:rPr>
          <w:rFonts w:hint="eastAsia" w:ascii="宋体" w:hAnsi="宋体" w:cs="宋体"/>
          <w:b/>
          <w:bCs/>
          <w:sz w:val="24"/>
        </w:rPr>
        <w:t>三、获取招标文件</w:t>
      </w:r>
      <w:bookmarkEnd w:id="25"/>
    </w:p>
    <w:p>
      <w:pPr>
        <w:ind w:firstLine="540"/>
        <w:rPr>
          <w:rFonts w:ascii="Tahoma" w:hAnsi="Tahoma" w:cs="Tahoma"/>
          <w:kern w:val="0"/>
          <w:sz w:val="24"/>
        </w:rPr>
      </w:pPr>
      <w:r>
        <w:rPr>
          <w:rFonts w:hint="eastAsia" w:ascii="Tahoma" w:hAnsi="Tahoma" w:cs="Tahoma"/>
          <w:kern w:val="0"/>
          <w:sz w:val="24"/>
        </w:rPr>
        <w:t>1、时间：</w:t>
      </w:r>
      <w:r>
        <w:rPr>
          <w:rFonts w:hint="eastAsia" w:ascii="Tahoma" w:hAnsi="Tahoma" w:cs="Tahoma"/>
          <w:b/>
          <w:kern w:val="0"/>
          <w:sz w:val="24"/>
        </w:rPr>
        <w:t>2023年</w:t>
      </w:r>
      <w:r>
        <w:rPr>
          <w:rFonts w:hint="eastAsia" w:ascii="Tahoma" w:hAnsi="Tahoma" w:cs="Tahoma"/>
          <w:b/>
          <w:kern w:val="0"/>
          <w:sz w:val="24"/>
          <w:u w:val="single"/>
        </w:rPr>
        <w:t xml:space="preserve"> 6 </w:t>
      </w:r>
      <w:r>
        <w:rPr>
          <w:rFonts w:hint="eastAsia" w:ascii="Tahoma" w:hAnsi="Tahoma" w:cs="Tahoma"/>
          <w:b/>
          <w:kern w:val="0"/>
          <w:sz w:val="24"/>
        </w:rPr>
        <w:t>月</w:t>
      </w:r>
      <w:r>
        <w:rPr>
          <w:rFonts w:hint="eastAsia" w:ascii="Tahoma" w:hAnsi="Tahoma" w:cs="Tahoma"/>
          <w:b/>
          <w:kern w:val="0"/>
          <w:sz w:val="24"/>
          <w:u w:val="single"/>
        </w:rPr>
        <w:t xml:space="preserve"> 1</w:t>
      </w:r>
      <w:r>
        <w:rPr>
          <w:rFonts w:hint="eastAsia" w:ascii="Tahoma" w:hAnsi="Tahoma" w:cs="Tahoma"/>
          <w:b/>
          <w:kern w:val="0"/>
          <w:sz w:val="24"/>
          <w:u w:val="single"/>
          <w:lang w:val="en-US" w:eastAsia="zh-CN"/>
        </w:rPr>
        <w:t>4</w:t>
      </w:r>
      <w:r>
        <w:rPr>
          <w:rFonts w:hint="eastAsia" w:ascii="Tahoma" w:hAnsi="Tahoma" w:cs="Tahoma"/>
          <w:b/>
          <w:kern w:val="0"/>
          <w:sz w:val="24"/>
        </w:rPr>
        <w:t>日至2023年</w:t>
      </w:r>
      <w:r>
        <w:rPr>
          <w:rFonts w:hint="eastAsia" w:ascii="Tahoma" w:hAnsi="Tahoma" w:cs="Tahoma"/>
          <w:b/>
          <w:kern w:val="0"/>
          <w:sz w:val="24"/>
          <w:u w:val="single"/>
        </w:rPr>
        <w:t>6</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20</w:t>
      </w:r>
      <w:r>
        <w:rPr>
          <w:rFonts w:hint="eastAsia" w:ascii="Tahoma" w:hAnsi="Tahoma" w:cs="Tahoma"/>
          <w:b/>
          <w:kern w:val="0"/>
          <w:sz w:val="24"/>
          <w:u w:val="single"/>
        </w:rPr>
        <w:t xml:space="preserve"> </w:t>
      </w:r>
      <w:r>
        <w:rPr>
          <w:rFonts w:hint="eastAsia" w:ascii="Tahoma" w:hAnsi="Tahoma" w:cs="Tahoma"/>
          <w:b/>
          <w:kern w:val="0"/>
          <w:sz w:val="24"/>
        </w:rPr>
        <w:t>日</w:t>
      </w:r>
      <w:r>
        <w:rPr>
          <w:rFonts w:hint="eastAsia" w:ascii="Tahoma" w:hAnsi="Tahoma" w:cs="Tahoma"/>
          <w:kern w:val="0"/>
          <w:sz w:val="24"/>
        </w:rPr>
        <w:t>，每天上午8:00至12:00，下午14:30至17:30（北京时间，法定节假日除外）</w:t>
      </w:r>
    </w:p>
    <w:p>
      <w:pPr>
        <w:ind w:firstLine="540"/>
        <w:rPr>
          <w:rFonts w:ascii="Tahoma" w:hAnsi="Tahoma" w:cs="Tahoma"/>
          <w:kern w:val="0"/>
          <w:sz w:val="24"/>
        </w:rPr>
      </w:pPr>
      <w:r>
        <w:rPr>
          <w:rFonts w:hint="eastAsia" w:ascii="Tahoma" w:hAnsi="Tahoma" w:cs="Tahoma"/>
          <w:kern w:val="0"/>
          <w:sz w:val="24"/>
        </w:rPr>
        <w:t>2、地点：潜山市开发区八一大道与三合路交叉口1幢1号</w:t>
      </w:r>
    </w:p>
    <w:p>
      <w:pPr>
        <w:ind w:firstLine="540"/>
        <w:rPr>
          <w:rFonts w:ascii="Tahoma" w:hAnsi="Tahoma" w:cs="Tahoma"/>
          <w:kern w:val="0"/>
          <w:sz w:val="24"/>
        </w:rPr>
      </w:pPr>
      <w:r>
        <w:rPr>
          <w:rFonts w:hint="eastAsia" w:ascii="Tahoma" w:hAnsi="Tahoma" w:cs="Tahoma"/>
          <w:kern w:val="0"/>
          <w:sz w:val="24"/>
        </w:rPr>
        <w:t>3、方式：经办人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r>
        <w:fldChar w:fldCharType="begin"/>
      </w:r>
      <w:r>
        <w:instrText xml:space="preserve"> HYPERLINK "mailto:或将上述报名资料扫描件发送至anhuitaijie@outlook.com" </w:instrText>
      </w:r>
      <w:r>
        <w:fldChar w:fldCharType="separate"/>
      </w:r>
      <w:r>
        <w:rPr>
          <w:rFonts w:hint="eastAsia"/>
          <w:kern w:val="0"/>
          <w:sz w:val="24"/>
        </w:rPr>
        <w:t>或将上述报名资料扫描件发送至</w:t>
      </w:r>
      <w:r>
        <w:rPr>
          <w:kern w:val="0"/>
          <w:sz w:val="24"/>
        </w:rPr>
        <w:t>anhuitaijie@outlook.com</w:t>
      </w:r>
      <w:r>
        <w:rPr>
          <w:kern w:val="0"/>
          <w:sz w:val="24"/>
        </w:rPr>
        <w:fldChar w:fldCharType="end"/>
      </w:r>
      <w:r>
        <w:rPr>
          <w:rFonts w:hint="eastAsia"/>
          <w:kern w:val="0"/>
          <w:sz w:val="24"/>
        </w:rPr>
        <w:t>）。</w:t>
      </w:r>
    </w:p>
    <w:p>
      <w:pPr>
        <w:ind w:firstLine="480" w:firstLineChars="200"/>
        <w:rPr>
          <w:rFonts w:asciiTheme="minorEastAsia" w:hAnsiTheme="minorEastAsia" w:eastAsiaTheme="minorEastAsia" w:cstheme="minorEastAsia"/>
          <w:bCs/>
          <w:sz w:val="24"/>
        </w:rPr>
      </w:pPr>
      <w:r>
        <w:rPr>
          <w:rFonts w:hint="eastAsia"/>
          <w:sz w:val="24"/>
        </w:rPr>
        <w:t>4、售价：招标文件及相关资料工本费：人民币 0元/套，售后不退。（开户行名称： 中国建设银行潜山支行，账户名称：安徽泰杰工程咨询有限公司，账号：34050168430800000493，备注注明：供应商名称、</w:t>
      </w:r>
      <w:r>
        <w:rPr>
          <w:rFonts w:hint="eastAsia" w:asciiTheme="minorEastAsia" w:hAnsiTheme="minorEastAsia" w:eastAsiaTheme="minorEastAsia" w:cstheme="minorEastAsia"/>
          <w:b/>
          <w:bCs/>
          <w:sz w:val="24"/>
          <w:u w:val="single"/>
        </w:rPr>
        <w:t>2023年潜山市中医院检验外送项目</w:t>
      </w:r>
      <w:r>
        <w:rPr>
          <w:rFonts w:hint="eastAsia" w:ascii="宋体" w:hAnsi="宋体"/>
          <w:sz w:val="24"/>
        </w:rPr>
        <w:t>工本费</w:t>
      </w:r>
      <w:r>
        <w:rPr>
          <w:rFonts w:hint="eastAsia"/>
          <w:sz w:val="24"/>
        </w:rPr>
        <w:t>）。</w:t>
      </w:r>
    </w:p>
    <w:bookmarkEnd w:id="26"/>
    <w:bookmarkEnd w:id="27"/>
    <w:bookmarkEnd w:id="28"/>
    <w:bookmarkEnd w:id="29"/>
    <w:p>
      <w:pPr>
        <w:keepNext/>
        <w:keepLines/>
        <w:outlineLvl w:val="1"/>
        <w:rPr>
          <w:rFonts w:ascii="宋体" w:hAnsi="宋体" w:cs="宋体"/>
          <w:b/>
          <w:bCs/>
          <w:sz w:val="24"/>
        </w:rPr>
      </w:pPr>
      <w:bookmarkStart w:id="30" w:name="_Toc68592964"/>
      <w:bookmarkStart w:id="31" w:name="_Toc28359084"/>
      <w:bookmarkStart w:id="32" w:name="_Toc28359007"/>
      <w:bookmarkStart w:id="33" w:name="_Toc35393794"/>
      <w:bookmarkStart w:id="34" w:name="_Toc35393625"/>
      <w:r>
        <w:rPr>
          <w:rFonts w:hint="eastAsia" w:ascii="宋体" w:hAnsi="宋体" w:cs="宋体"/>
          <w:b/>
          <w:bCs/>
          <w:sz w:val="24"/>
        </w:rPr>
        <w:t>四、提交投标文件截止时间、开标时间和地点</w:t>
      </w:r>
      <w:bookmarkEnd w:id="30"/>
    </w:p>
    <w:p>
      <w:pPr>
        <w:ind w:firstLine="482" w:firstLineChars="200"/>
        <w:rPr>
          <w:rFonts w:ascii="宋体" w:hAnsi="宋体"/>
          <w:bCs/>
          <w:sz w:val="24"/>
          <w:u w:val="single"/>
        </w:rPr>
      </w:pPr>
      <w:r>
        <w:rPr>
          <w:rFonts w:hint="eastAsia" w:ascii="宋体" w:hAnsi="宋体" w:cs="宋体"/>
          <w:b/>
          <w:color w:val="FF0000"/>
          <w:sz w:val="24"/>
          <w:u w:val="single"/>
        </w:rPr>
        <w:t xml:space="preserve">2023年7月 </w:t>
      </w:r>
      <w:r>
        <w:rPr>
          <w:rFonts w:hint="eastAsia" w:ascii="宋体" w:hAnsi="宋体" w:cs="宋体"/>
          <w:b/>
          <w:color w:val="FF0000"/>
          <w:sz w:val="24"/>
          <w:u w:val="single"/>
          <w:lang w:val="en-US" w:eastAsia="zh-CN"/>
        </w:rPr>
        <w:t>4</w:t>
      </w:r>
      <w:r>
        <w:rPr>
          <w:rFonts w:hint="eastAsia" w:ascii="宋体" w:hAnsi="宋体" w:cs="宋体"/>
          <w:b/>
          <w:color w:val="FF0000"/>
          <w:sz w:val="24"/>
          <w:u w:val="single"/>
        </w:rPr>
        <w:t xml:space="preserve">日 9 时 30 </w:t>
      </w:r>
      <w:r>
        <w:rPr>
          <w:rFonts w:hint="eastAsia" w:ascii="宋体" w:hAnsi="宋体" w:cs="宋体"/>
          <w:b/>
          <w:sz w:val="24"/>
          <w:u w:val="single"/>
        </w:rPr>
        <w:t>分</w:t>
      </w:r>
      <w:r>
        <w:rPr>
          <w:rFonts w:hint="eastAsia" w:ascii="宋体" w:hAnsi="宋体"/>
          <w:bCs/>
          <w:sz w:val="24"/>
        </w:rPr>
        <w:t>（北京时间）</w:t>
      </w:r>
    </w:p>
    <w:p>
      <w:pPr>
        <w:ind w:firstLine="480" w:firstLineChars="200"/>
        <w:rPr>
          <w:rFonts w:ascii="宋体" w:hAnsi="宋体"/>
          <w:sz w:val="24"/>
        </w:rPr>
      </w:pPr>
      <w:r>
        <w:rPr>
          <w:rFonts w:hint="eastAsia" w:ascii="宋体" w:hAnsi="宋体"/>
          <w:sz w:val="24"/>
        </w:rPr>
        <w:t xml:space="preserve">地点：潜山市开发区八一大道与三合路交叉口1幢1号 </w:t>
      </w:r>
      <w:r>
        <w:rPr>
          <w:rFonts w:ascii="宋体" w:hAnsi="宋体"/>
          <w:sz w:val="24"/>
        </w:rPr>
        <w:t xml:space="preserve">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五、公告期限</w:t>
      </w:r>
      <w:bookmarkEnd w:id="31"/>
      <w:bookmarkEnd w:id="32"/>
      <w:bookmarkEnd w:id="33"/>
      <w:bookmarkEnd w:id="34"/>
    </w:p>
    <w:p>
      <w:pPr>
        <w:ind w:firstLine="484" w:firstLineChars="20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rPr>
          <w:rFonts w:asciiTheme="minorEastAsia" w:hAnsiTheme="minorEastAsia" w:eastAsiaTheme="minorEastAsia" w:cstheme="minorEastAsia"/>
          <w:bCs/>
          <w:sz w:val="24"/>
        </w:rPr>
      </w:pPr>
      <w:bookmarkStart w:id="35" w:name="_Toc35393626"/>
      <w:bookmarkStart w:id="36" w:name="_Toc35393795"/>
      <w:r>
        <w:rPr>
          <w:rFonts w:hint="eastAsia" w:asciiTheme="minorEastAsia" w:hAnsiTheme="minorEastAsia" w:eastAsiaTheme="minorEastAsia" w:cstheme="minorEastAsia"/>
          <w:bCs/>
          <w:sz w:val="24"/>
        </w:rPr>
        <w:t>六、其他补充事宜</w:t>
      </w:r>
      <w:bookmarkEnd w:id="35"/>
      <w:bookmarkEnd w:id="36"/>
    </w:p>
    <w:p>
      <w:pPr>
        <w:pStyle w:val="45"/>
        <w:spacing w:beforeLines="0" w:after="0"/>
        <w:ind w:firstLine="0" w:firstLineChars="0"/>
        <w:rPr>
          <w:rFonts w:ascii="宋体" w:hAnsi="宋体" w:cs="宋体"/>
          <w:kern w:val="0"/>
          <w:sz w:val="24"/>
        </w:rPr>
      </w:pPr>
      <w:bookmarkStart w:id="37" w:name="_Toc28359085"/>
      <w:bookmarkStart w:id="38" w:name="_Toc35393627"/>
      <w:bookmarkStart w:id="39" w:name="_Toc28359008"/>
      <w:bookmarkStart w:id="40" w:name="_Toc35393796"/>
      <w:r>
        <w:rPr>
          <w:rFonts w:hint="eastAsia" w:ascii="宋体" w:hAnsi="宋体" w:cs="宋体"/>
          <w:kern w:val="0"/>
          <w:sz w:val="24"/>
        </w:rPr>
        <w:t>1.投标申请人的联系人电话(手机)、电子邮箱等通讯方式在招投标过程中必须保持畅通，否则因上述原因造成的后果，责任自负。</w:t>
      </w:r>
    </w:p>
    <w:p>
      <w:pPr>
        <w:pStyle w:val="45"/>
        <w:spacing w:beforeLines="0" w:after="0"/>
        <w:ind w:firstLine="0" w:firstLineChars="0"/>
        <w:rPr>
          <w:rFonts w:ascii="宋体" w:hAnsi="宋体" w:cs="宋体"/>
          <w:kern w:val="0"/>
          <w:sz w:val="24"/>
        </w:rPr>
      </w:pPr>
      <w:r>
        <w:rPr>
          <w:rFonts w:hint="eastAsia" w:ascii="宋体" w:hAnsi="宋体" w:cs="宋体"/>
          <w:kern w:val="0"/>
          <w:sz w:val="24"/>
        </w:rPr>
        <w:t>2.本项目采用纸质招投标方式，仔细阅读招标文件要求。</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七、对本次招标提出询问，请按以下方式联系。</w:t>
      </w:r>
      <w:bookmarkEnd w:id="37"/>
      <w:bookmarkEnd w:id="38"/>
      <w:bookmarkEnd w:id="39"/>
      <w:bookmarkEnd w:id="4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潜山市中医院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潜山市梅城镇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u w:val="single"/>
        </w:rPr>
        <w:t>　  程先生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18005564078　　　　</w:t>
      </w:r>
      <w:bookmarkStart w:id="41" w:name="_Toc28359009"/>
      <w:bookmarkStart w:id="42" w:name="_Toc28359086"/>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bookmarkEnd w:id="41"/>
      <w:bookmarkEnd w:id="42"/>
    </w:p>
    <w:p>
      <w:pPr>
        <w:pStyle w:val="57"/>
        <w:spacing w:after="0"/>
        <w:ind w:firstLine="480" w:firstLineChars="200"/>
        <w:rPr>
          <w:sz w:val="24"/>
          <w:szCs w:val="24"/>
        </w:rPr>
      </w:pPr>
      <w:bookmarkStart w:id="43" w:name="_Toc28359010"/>
      <w:bookmarkStart w:id="44" w:name="_Toc28359087"/>
      <w:r>
        <w:rPr>
          <w:rFonts w:hint="eastAsia"/>
          <w:sz w:val="24"/>
          <w:szCs w:val="24"/>
        </w:rPr>
        <w:t xml:space="preserve">名 称： </w:t>
      </w:r>
      <w:r>
        <w:rPr>
          <w:rFonts w:hint="eastAsia"/>
          <w:sz w:val="24"/>
          <w:szCs w:val="24"/>
          <w:u w:val="single"/>
        </w:rPr>
        <w:t>安徽泰杰工程咨询有限公司</w:t>
      </w:r>
    </w:p>
    <w:p>
      <w:pPr>
        <w:widowControl/>
        <w:shd w:val="clear" w:color="auto" w:fill="FFFFFF"/>
        <w:ind w:firstLine="480" w:firstLineChars="200"/>
        <w:jc w:val="left"/>
        <w:rPr>
          <w:rFonts w:ascii="Tahoma" w:hAnsi="Tahoma" w:cs="Tahoma"/>
          <w:kern w:val="0"/>
          <w:sz w:val="24"/>
        </w:rPr>
      </w:pPr>
      <w:r>
        <w:rPr>
          <w:rFonts w:hint="eastAsia" w:ascii="Tahoma" w:hAnsi="Tahoma" w:cs="Tahoma"/>
          <w:kern w:val="0"/>
          <w:sz w:val="24"/>
        </w:rPr>
        <w:t>地 址：</w:t>
      </w:r>
      <w:r>
        <w:rPr>
          <w:rFonts w:hint="eastAsia" w:ascii="Tahoma" w:hAnsi="Tahoma" w:cs="Tahoma"/>
          <w:kern w:val="0"/>
          <w:sz w:val="24"/>
          <w:u w:val="single"/>
        </w:rPr>
        <w:t>潜山市开发区八一大道与三合路交叉口1幢1号</w:t>
      </w:r>
    </w:p>
    <w:p>
      <w:pPr>
        <w:pStyle w:val="74"/>
        <w:ind w:firstLine="480" w:firstLineChars="200"/>
        <w:rPr>
          <w:rFonts w:cs="Tahoma"/>
          <w:kern w:val="0"/>
          <w:szCs w:val="24"/>
        </w:rPr>
      </w:pPr>
      <w:r>
        <w:rPr>
          <w:rFonts w:hint="eastAsia" w:cs="Tahoma"/>
          <w:kern w:val="0"/>
          <w:szCs w:val="24"/>
        </w:rPr>
        <w:t>项目负责人：</w:t>
      </w:r>
      <w:r>
        <w:rPr>
          <w:rFonts w:hint="eastAsia" w:cs="Tahoma"/>
          <w:kern w:val="0"/>
          <w:szCs w:val="24"/>
          <w:u w:val="single"/>
        </w:rPr>
        <w:t>韩可俊      联系方式：13696626788</w:t>
      </w:r>
    </w:p>
    <w:p>
      <w:pPr>
        <w:pStyle w:val="74"/>
        <w:ind w:firstLine="480" w:firstLineChars="200"/>
        <w:rPr>
          <w:rFonts w:cs="Tahoma"/>
          <w:kern w:val="0"/>
          <w:szCs w:val="24"/>
        </w:rPr>
      </w:pPr>
      <w:r>
        <w:rPr>
          <w:rFonts w:hint="eastAsia" w:cs="Tahoma"/>
          <w:kern w:val="0"/>
          <w:szCs w:val="24"/>
        </w:rPr>
        <w:t>招标部联系人：</w:t>
      </w:r>
      <w:r>
        <w:rPr>
          <w:rFonts w:hint="eastAsia" w:cs="Tahoma"/>
          <w:kern w:val="0"/>
          <w:szCs w:val="24"/>
          <w:u w:val="single"/>
        </w:rPr>
        <w:t>熊晗晖    联系方式：0556-8964888</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3.项目联系方式</w:t>
      </w:r>
      <w:bookmarkEnd w:id="43"/>
      <w:bookmarkEnd w:id="44"/>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u w:val="single"/>
        </w:rPr>
        <w:t xml:space="preserve">   程先生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18005564078　　　　  　　　　　</w:t>
      </w:r>
    </w:p>
    <w:p>
      <w:pPr>
        <w:pStyle w:val="57"/>
        <w:spacing w:after="0"/>
        <w:rPr>
          <w:b/>
          <w:sz w:val="24"/>
          <w:szCs w:val="24"/>
        </w:rPr>
      </w:pPr>
      <w:r>
        <w:rPr>
          <w:rFonts w:hint="eastAsia"/>
          <w:b/>
          <w:sz w:val="24"/>
          <w:szCs w:val="24"/>
        </w:rPr>
        <w:t>八、特别提示</w:t>
      </w:r>
    </w:p>
    <w:p>
      <w:pPr>
        <w:pStyle w:val="57"/>
        <w:spacing w:after="0"/>
        <w:rPr>
          <w:sz w:val="24"/>
          <w:szCs w:val="24"/>
        </w:rPr>
      </w:pPr>
      <w:r>
        <w:rPr>
          <w:rFonts w:hint="eastAsia"/>
          <w:sz w:val="24"/>
          <w:szCs w:val="24"/>
        </w:rPr>
        <w:t>1. 为贯彻落实中央、省、市“扫黑除恶”专项斗争有关文件和会议精神，净化我市公共资源交易环境，对在交易过程中如发现有涉嫌围标、串标、恶意竞标的违法违规人员，依据相关规定，将线索移送市扫黑办。</w:t>
      </w:r>
    </w:p>
    <w:p>
      <w:pPr>
        <w:pStyle w:val="57"/>
        <w:spacing w:after="0"/>
        <w:rPr>
          <w:sz w:val="24"/>
          <w:szCs w:val="24"/>
        </w:rPr>
      </w:pPr>
      <w:r>
        <w:rPr>
          <w:rFonts w:hint="eastAsia"/>
          <w:sz w:val="24"/>
          <w:szCs w:val="24"/>
        </w:rPr>
        <w:t>2. 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p>
      <w:pPr>
        <w:pStyle w:val="57"/>
        <w:spacing w:after="0"/>
        <w:rPr>
          <w:sz w:val="24"/>
          <w:szCs w:val="24"/>
        </w:rPr>
      </w:pPr>
      <w:r>
        <w:rPr>
          <w:rFonts w:hint="eastAsia"/>
          <w:sz w:val="24"/>
          <w:szCs w:val="24"/>
        </w:rPr>
        <w:t xml:space="preserve">     </w:t>
      </w:r>
    </w:p>
    <w:p>
      <w:pPr>
        <w:pStyle w:val="57"/>
        <w:spacing w:after="0"/>
        <w:rPr>
          <w:sz w:val="24"/>
          <w:szCs w:val="24"/>
        </w:rPr>
      </w:pPr>
      <w:r>
        <w:rPr>
          <w:rFonts w:hint="eastAsia"/>
          <w:sz w:val="24"/>
          <w:szCs w:val="24"/>
        </w:rPr>
        <w:t xml:space="preserve">                                                             潜山市中医院</w:t>
      </w:r>
    </w:p>
    <w:p>
      <w:pPr>
        <w:pStyle w:val="57"/>
        <w:spacing w:after="0"/>
        <w:jc w:val="right"/>
        <w:rPr>
          <w:sz w:val="24"/>
          <w:szCs w:val="24"/>
        </w:rPr>
      </w:pPr>
      <w:r>
        <w:rPr>
          <w:rFonts w:hint="eastAsia"/>
          <w:sz w:val="24"/>
          <w:szCs w:val="24"/>
        </w:rPr>
        <w:t>2023 年6月1</w:t>
      </w:r>
      <w:r>
        <w:rPr>
          <w:rFonts w:hint="eastAsia"/>
          <w:sz w:val="24"/>
          <w:szCs w:val="24"/>
          <w:lang w:val="en-US" w:eastAsia="zh-CN"/>
        </w:rPr>
        <w:t>4</w:t>
      </w:r>
      <w:r>
        <w:rPr>
          <w:rFonts w:hint="eastAsia"/>
          <w:sz w:val="24"/>
          <w:szCs w:val="24"/>
        </w:rPr>
        <w:t xml:space="preserve"> 日</w:t>
      </w:r>
    </w:p>
    <w:p>
      <w:pPr>
        <w:pStyle w:val="57"/>
        <w:spacing w:after="0"/>
        <w:jc w:val="right"/>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
        <w:numPr>
          <w:ilvl w:val="0"/>
          <w:numId w:val="1"/>
        </w:numPr>
        <w:rPr>
          <w:rFonts w:asciiTheme="minorEastAsia" w:hAnsiTheme="minorEastAsia" w:eastAsiaTheme="minorEastAsia" w:cstheme="minorEastAsia"/>
        </w:rPr>
      </w:pPr>
      <w:bookmarkStart w:id="45" w:name="_Toc5725"/>
      <w:bookmarkStart w:id="46" w:name="_Toc14682"/>
      <w:bookmarkStart w:id="47" w:name="_Toc32050"/>
      <w:bookmarkStart w:id="48" w:name="_Toc2782"/>
      <w:r>
        <w:rPr>
          <w:rFonts w:hint="eastAsia" w:asciiTheme="minorEastAsia" w:hAnsiTheme="minorEastAsia" w:eastAsiaTheme="minorEastAsia" w:cstheme="minorEastAsia"/>
        </w:rPr>
        <w:t>投标人须知</w:t>
      </w:r>
      <w:bookmarkEnd w:id="45"/>
      <w:bookmarkEnd w:id="46"/>
      <w:bookmarkEnd w:id="47"/>
      <w:bookmarkEnd w:id="48"/>
    </w:p>
    <w:p>
      <w:pPr>
        <w:pStyle w:val="58"/>
      </w:pPr>
      <w:bookmarkStart w:id="49" w:name="_Toc27607"/>
      <w:bookmarkStart w:id="50" w:name="_Toc68592969"/>
      <w:bookmarkStart w:id="51" w:name="_Toc14999"/>
      <w:r>
        <w:rPr>
          <w:rFonts w:hint="eastAsia"/>
        </w:rPr>
        <w:t>第一节  投标人须知前附表</w:t>
      </w:r>
      <w:bookmarkEnd w:id="49"/>
      <w:bookmarkEnd w:id="50"/>
    </w:p>
    <w:tbl>
      <w:tblPr>
        <w:tblStyle w:val="27"/>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012"/>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szCs w:val="21"/>
              </w:rPr>
            </w:pPr>
            <w:r>
              <w:rPr>
                <w:rFonts w:hint="eastAsia" w:ascii="宋体" w:hAnsi="宋体"/>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皖TJ-CG23058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 xml:space="preserve">2023年潜山市中医院检验外送项目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潜山市中医院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szCs w:val="21"/>
              </w:rPr>
              <w:t>安徽泰杰工程咨询有限公司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szCs w:val="21"/>
              </w:rPr>
              <w:t>最高投标费率</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olor w:val="FF0000"/>
                <w:sz w:val="24"/>
              </w:rPr>
              <w:t>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 xml:space="preserve">自合同签订之日起 </w:t>
            </w:r>
            <w:r>
              <w:rPr>
                <w:rFonts w:hint="eastAsia" w:ascii="宋体" w:hAnsi="宋体" w:cs="宋体"/>
                <w:color w:val="FF0000"/>
                <w:szCs w:val="21"/>
              </w:rPr>
              <w:t xml:space="preserve">12 </w:t>
            </w:r>
            <w:r>
              <w:rPr>
                <w:rFonts w:hint="eastAsia" w:ascii="宋体" w:hAnsi="宋体" w:cs="宋体"/>
                <w:szCs w:val="21"/>
              </w:rPr>
              <w:t xml:space="preserve">个月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szCs w:val="21"/>
              </w:rPr>
            </w:pPr>
            <w:r>
              <w:rPr>
                <w:rFonts w:hint="eastAsia" w:ascii="宋体" w:hAnsi="宋体"/>
                <w:szCs w:val="21"/>
              </w:rPr>
              <w:t>180日历天（从投标截止时间算起）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pacing w:val="-14"/>
                <w:szCs w:val="21"/>
              </w:rPr>
            </w:pPr>
            <w:r>
              <w:rPr>
                <w:rFonts w:ascii="宋体" w:hAnsi="宋体"/>
                <w:b/>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b/>
                <w:kern w:val="0"/>
              </w:rPr>
              <w:t>投标文件份数及装订要求</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pPr>
              <w:autoSpaceDE w:val="0"/>
              <w:autoSpaceDN w:val="0"/>
              <w:adjustRightInd w:val="0"/>
              <w:spacing w:line="440" w:lineRule="exact"/>
              <w:rPr>
                <w:rFonts w:ascii="宋体" w:hAnsi="宋体" w:cs="宋体"/>
                <w:szCs w:val="21"/>
              </w:rPr>
            </w:pPr>
            <w:r>
              <w:rPr>
                <w:rFonts w:ascii="宋体" w:hAnsi="宋体" w:cs="宋体"/>
                <w:szCs w:val="21"/>
              </w:rPr>
              <w:t>装订要求：</w:t>
            </w:r>
          </w:p>
          <w:p>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pPr>
              <w:rPr>
                <w:rFonts w:ascii="宋体" w:hAnsi="宋体"/>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投标文件提交</w:t>
            </w:r>
          </w:p>
        </w:tc>
        <w:tc>
          <w:tcPr>
            <w:tcW w:w="6626" w:type="dxa"/>
            <w:tcBorders>
              <w:top w:val="single" w:color="auto" w:sz="4" w:space="0"/>
              <w:left w:val="single" w:color="auto" w:sz="4" w:space="0"/>
              <w:bottom w:val="single" w:color="auto" w:sz="4" w:space="0"/>
              <w:right w:val="single" w:color="auto" w:sz="4" w:space="0"/>
            </w:tcBorders>
            <w:vAlign w:val="center"/>
          </w:tcPr>
          <w:p>
            <w:pPr>
              <w:pStyle w:val="11"/>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2023年 7 月0</w:t>
            </w:r>
            <w:r>
              <w:rPr>
                <w:rFonts w:hint="eastAsia" w:ascii="宋体" w:hAnsi="宋体" w:cs="宋体"/>
                <w:b/>
                <w:color w:val="FF0000"/>
                <w:sz w:val="22"/>
                <w:u w:val="single"/>
                <w:lang w:val="en-US" w:eastAsia="zh-CN"/>
              </w:rPr>
              <w:t>4</w:t>
            </w:r>
            <w:r>
              <w:rPr>
                <w:rFonts w:hint="eastAsia" w:ascii="宋体" w:hAnsi="宋体" w:cs="宋体"/>
                <w:b/>
                <w:color w:val="FF0000"/>
                <w:sz w:val="22"/>
                <w:u w:val="single"/>
              </w:rPr>
              <w:t xml:space="preserve"> 日 9 时 30 </w:t>
            </w:r>
            <w:r>
              <w:rPr>
                <w:rFonts w:hint="eastAsia" w:ascii="宋体" w:hAnsi="宋体" w:cs="宋体"/>
                <w:b/>
                <w:sz w:val="22"/>
                <w:u w:val="single"/>
              </w:rPr>
              <w:t>分</w:t>
            </w:r>
            <w:r>
              <w:rPr>
                <w:rFonts w:hint="eastAsia" w:ascii="宋体" w:hAnsi="宋体"/>
                <w:bCs/>
                <w:sz w:val="21"/>
                <w:szCs w:val="21"/>
              </w:rPr>
              <w:t>（北京时间）</w:t>
            </w:r>
          </w:p>
          <w:p>
            <w:pPr>
              <w:pStyle w:val="22"/>
              <w:spacing w:line="480" w:lineRule="atLeast"/>
              <w:ind w:right="150"/>
              <w:jc w:val="both"/>
              <w:rPr>
                <w:rFonts w:ascii="宋体" w:hAnsi="宋体" w:eastAsia="仿宋_GB2312"/>
                <w:kern w:val="2"/>
                <w:sz w:val="21"/>
                <w:szCs w:val="21"/>
              </w:rPr>
            </w:pPr>
            <w:r>
              <w:rPr>
                <w:rFonts w:hint="eastAsia" w:ascii="宋体" w:hAnsi="宋体" w:eastAsia="仿宋_GB2312"/>
                <w:kern w:val="2"/>
                <w:sz w:val="21"/>
                <w:szCs w:val="21"/>
              </w:rPr>
              <w:t>2、响应文件提交方式：采购人邀请所有参与本次询价的供应商代表参加询价会议，也可以以不见面的方式参加。</w:t>
            </w:r>
          </w:p>
          <w:p>
            <w:pPr>
              <w:pStyle w:val="11"/>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pPr>
              <w:pStyle w:val="11"/>
              <w:widowControl/>
              <w:spacing w:line="420" w:lineRule="exact"/>
              <w:jc w:val="both"/>
              <w:rPr>
                <w:rFonts w:ascii="宋体" w:hAnsi="宋体" w:cs="宋体"/>
                <w:b/>
                <w:sz w:val="22"/>
              </w:rPr>
            </w:pPr>
            <w:r>
              <w:rPr>
                <w:rFonts w:hint="eastAsia" w:ascii="宋体" w:hAnsi="宋体" w:cs="宋体"/>
                <w:b/>
                <w:sz w:val="22"/>
              </w:rPr>
              <w:t>若法定代表人参加开标会议的，须提交法定代表人身份证明书；</w:t>
            </w:r>
          </w:p>
          <w:p>
            <w:pPr>
              <w:pStyle w:val="11"/>
              <w:widowControl/>
              <w:spacing w:line="420" w:lineRule="exact"/>
              <w:jc w:val="both"/>
              <w:rPr>
                <w:rFonts w:ascii="宋体" w:hAnsi="宋体" w:cs="宋体"/>
                <w:b/>
                <w:sz w:val="22"/>
              </w:rPr>
            </w:pPr>
            <w:r>
              <w:rPr>
                <w:rFonts w:hint="eastAsia" w:ascii="宋体" w:hAnsi="宋体" w:cs="宋体"/>
                <w:b/>
                <w:sz w:val="22"/>
              </w:rPr>
              <w:t>若授权委托人参加开标会议的，须提交法定代表人授权委托书。</w:t>
            </w:r>
          </w:p>
          <w:p>
            <w:pPr>
              <w:pStyle w:val="11"/>
              <w:widowControl/>
              <w:spacing w:line="420" w:lineRule="exact"/>
              <w:jc w:val="both"/>
              <w:rPr>
                <w:rFonts w:ascii="宋体" w:hAnsi="宋体" w:cs="宋体"/>
                <w:b/>
                <w:sz w:val="22"/>
              </w:rPr>
            </w:pPr>
            <w:r>
              <w:rPr>
                <w:rFonts w:ascii="宋体" w:hAnsi="宋体" w:cs="宋体"/>
                <w:b/>
                <w:sz w:val="22"/>
              </w:rPr>
              <w:t>②</w:t>
            </w:r>
            <w:r>
              <w:rPr>
                <w:rFonts w:hint="eastAsia" w:ascii="宋体" w:hAnsi="宋体" w:cs="宋体"/>
                <w:b/>
                <w:sz w:val="22"/>
              </w:rPr>
              <w:t>不见面方式提交：</w:t>
            </w:r>
          </w:p>
          <w:p>
            <w:pPr>
              <w:pStyle w:val="11"/>
              <w:widowControl/>
              <w:spacing w:line="420" w:lineRule="exact"/>
              <w:jc w:val="both"/>
              <w:rPr>
                <w:rFonts w:ascii="宋体" w:hAnsi="宋体" w:cs="宋体"/>
                <w:b/>
                <w:sz w:val="22"/>
              </w:rPr>
            </w:pPr>
            <w:r>
              <w:rPr>
                <w:rFonts w:hint="eastAsia" w:ascii="宋体" w:hAnsi="宋体" w:cs="宋体"/>
                <w:b/>
                <w:sz w:val="22"/>
              </w:rPr>
              <w:t>a、 邮寄地址：潜山市开发区八一大道与三合路交叉口1幢1号</w:t>
            </w:r>
          </w:p>
          <w:p>
            <w:pPr>
              <w:pStyle w:val="11"/>
              <w:widowControl/>
              <w:spacing w:line="420" w:lineRule="exact"/>
              <w:jc w:val="both"/>
              <w:rPr>
                <w:rFonts w:ascii="宋体" w:hAnsi="宋体" w:cs="宋体"/>
                <w:b/>
                <w:sz w:val="22"/>
              </w:rPr>
            </w:pPr>
            <w:r>
              <w:rPr>
                <w:rFonts w:hint="eastAsia" w:ascii="宋体" w:hAnsi="宋体" w:cs="宋体"/>
                <w:b/>
                <w:sz w:val="22"/>
              </w:rPr>
              <w:t>b、以本代理机构工作人员实际签收邮件时间为准。（在邮寄过程中出现任何形式的邮件丢失、损坏等一系列问题，由潜在供应商自行负责。）</w:t>
            </w:r>
          </w:p>
          <w:p>
            <w:pPr>
              <w:pStyle w:val="11"/>
              <w:widowControl/>
              <w:spacing w:line="420" w:lineRule="exact"/>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jc w:val="left"/>
              <w:rPr>
                <w:rFonts w:ascii="宋体" w:hAnsi="宋体"/>
                <w:szCs w:val="21"/>
              </w:rPr>
            </w:pPr>
            <w:r>
              <w:rPr>
                <w:rFonts w:hint="eastAsia" w:ascii="宋体" w:hAnsi="宋体"/>
                <w:szCs w:val="21"/>
              </w:rPr>
              <w:t>本次招标公告在安徽泰杰工程咨询有限公司（http://www.ahtaijie.com/）网站发布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pStyle w:val="11"/>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w:t>
            </w:r>
            <w:r>
              <w:rPr>
                <w:rFonts w:hint="eastAsia" w:ascii="宋体" w:hAnsi="宋体" w:cs="宋体"/>
                <w:b/>
                <w:color w:val="FF0000"/>
                <w:sz w:val="22"/>
                <w:u w:val="single"/>
              </w:rPr>
              <w:t>2023年7 月0</w:t>
            </w:r>
            <w:r>
              <w:rPr>
                <w:rFonts w:hint="eastAsia" w:ascii="宋体" w:hAnsi="宋体" w:cs="宋体"/>
                <w:b/>
                <w:color w:val="FF0000"/>
                <w:sz w:val="22"/>
                <w:u w:val="single"/>
                <w:lang w:val="en-US" w:eastAsia="zh-CN"/>
              </w:rPr>
              <w:t>4</w:t>
            </w:r>
            <w:r>
              <w:rPr>
                <w:rFonts w:hint="eastAsia" w:ascii="宋体" w:hAnsi="宋体" w:cs="宋体"/>
                <w:b/>
                <w:color w:val="FF0000"/>
                <w:sz w:val="22"/>
                <w:u w:val="single"/>
              </w:rPr>
              <w:t xml:space="preserve"> 日9 时30 </w:t>
            </w:r>
            <w:r>
              <w:rPr>
                <w:rFonts w:hint="eastAsia" w:ascii="宋体" w:hAnsi="宋体" w:cs="宋体"/>
                <w:b/>
                <w:sz w:val="22"/>
                <w:u w:val="single"/>
              </w:rPr>
              <w:t>分</w:t>
            </w:r>
            <w:r>
              <w:rPr>
                <w:rFonts w:hint="eastAsia" w:ascii="宋体" w:hAnsi="宋体"/>
                <w:bCs/>
                <w:sz w:val="21"/>
                <w:szCs w:val="21"/>
              </w:rPr>
              <w:t>（北京时间）</w:t>
            </w:r>
          </w:p>
          <w:p>
            <w:pPr>
              <w:rPr>
                <w:rFonts w:ascii="宋体" w:hAnsi="宋体"/>
                <w:szCs w:val="21"/>
              </w:rPr>
            </w:pPr>
            <w:r>
              <w:rPr>
                <w:rFonts w:hint="eastAsia" w:ascii="宋体" w:hAnsi="宋体"/>
                <w:szCs w:val="21"/>
              </w:rPr>
              <w:t>开标地点：潜山市开发区八一大道与三合路交叉口1幢1号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b/>
                <w:szCs w:val="21"/>
              </w:rPr>
              <w:t>综合评分方法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b/>
                <w:szCs w:val="21"/>
              </w:rPr>
              <w:t>履约担保为</w:t>
            </w:r>
            <w:r>
              <w:rPr>
                <w:rFonts w:hint="eastAsia" w:ascii="宋体" w:hAnsi="宋体" w:cs="宋体"/>
                <w:b/>
                <w:szCs w:val="21"/>
                <w:u w:val="single"/>
              </w:rPr>
              <w:t>中标价的 2 %</w:t>
            </w:r>
            <w:r>
              <w:rPr>
                <w:rFonts w:ascii="宋体" w:hAnsi="宋体" w:cs="宋体"/>
                <w:b/>
                <w:szCs w:val="21"/>
              </w:rPr>
              <w:t xml:space="preserve"> </w:t>
            </w:r>
          </w:p>
          <w:p>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pPr>
              <w:spacing w:line="340" w:lineRule="exact"/>
              <w:rPr>
                <w:rFonts w:ascii="宋体" w:hAnsi="宋体" w:cs="宋体"/>
                <w:b/>
                <w:szCs w:val="21"/>
              </w:rPr>
            </w:pPr>
            <w:r>
              <w:rPr>
                <w:rFonts w:hint="eastAsia" w:ascii="宋体" w:hAnsi="宋体" w:cs="宋体"/>
                <w:b/>
                <w:szCs w:val="21"/>
              </w:rPr>
              <w:t>开户行名称：中国建设银行潜山支行</w:t>
            </w:r>
          </w:p>
          <w:p>
            <w:pPr>
              <w:spacing w:line="340" w:lineRule="exact"/>
              <w:rPr>
                <w:rFonts w:ascii="宋体" w:hAnsi="宋体" w:cs="宋体"/>
                <w:b/>
                <w:szCs w:val="21"/>
              </w:rPr>
            </w:pPr>
            <w:r>
              <w:rPr>
                <w:rFonts w:hint="eastAsia" w:ascii="宋体" w:hAnsi="宋体" w:cs="宋体"/>
                <w:b/>
                <w:szCs w:val="21"/>
              </w:rPr>
              <w:t>账户名称：安徽泰杰工程咨询有限公司</w:t>
            </w:r>
          </w:p>
          <w:p>
            <w:pPr>
              <w:spacing w:line="420" w:lineRule="exact"/>
              <w:rPr>
                <w:rFonts w:ascii="宋体" w:hAnsi="宋体"/>
                <w:b/>
                <w:szCs w:val="21"/>
              </w:rPr>
            </w:pPr>
            <w:r>
              <w:rPr>
                <w:rFonts w:hint="eastAsia" w:ascii="宋体" w:hAnsi="宋体" w:cs="宋体"/>
                <w:b/>
                <w:szCs w:val="21"/>
              </w:rPr>
              <w:t>账号：34050168430800000493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详见第二章“第二节 供应商须知”28.4款中规定收取。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b/>
                <w:bCs/>
                <w:szCs w:val="21"/>
              </w:rPr>
              <w:t>中标人提供有效发票后</w:t>
            </w:r>
            <w:r>
              <w:rPr>
                <w:rFonts w:hint="eastAsia" w:ascii="宋体" w:hAnsi="宋体"/>
                <w:b/>
                <w:bCs/>
                <w:szCs w:val="21"/>
              </w:rPr>
              <w:t>7工作日内，以实际操作中所需检验项目产生的费用为准</w:t>
            </w:r>
            <w:r>
              <w:rPr>
                <w:rFonts w:ascii="宋体" w:hAnsi="宋体"/>
                <w:b/>
                <w:bCs/>
                <w:szCs w:val="21"/>
              </w:rPr>
              <w:t>按月付款</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szCs w:val="21"/>
              </w:rPr>
              <w:t>招标投标</w:t>
            </w:r>
          </w:p>
          <w:p>
            <w:pPr>
              <w:spacing w:line="420" w:lineRule="exact"/>
              <w:jc w:val="left"/>
              <w:rPr>
                <w:rFonts w:ascii="宋体" w:hAnsi="宋体"/>
                <w:szCs w:val="21"/>
              </w:rPr>
            </w:pPr>
            <w:r>
              <w:rPr>
                <w:rFonts w:hint="eastAsia" w:ascii="宋体" w:hAnsi="宋体"/>
                <w:szCs w:val="21"/>
              </w:rPr>
              <w:t>注意事项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招标文件中所指的投标文件如未特别注明，均为投标人按规定格式提交的纸质版投标文件。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1.本招标文件的解释权归采购单位；</w:t>
            </w:r>
          </w:p>
          <w:p>
            <w:pPr>
              <w:rPr>
                <w:rFonts w:ascii="宋体" w:hAnsi="宋体"/>
                <w:szCs w:val="21"/>
              </w:rPr>
            </w:pPr>
            <w:r>
              <w:rPr>
                <w:rFonts w:hint="eastAsia" w:ascii="宋体" w:hAnsi="宋体"/>
                <w:szCs w:val="21"/>
              </w:rPr>
              <w:t>2.本项目现场记录表（含供应商、投标报价、服务期、最终得分、查验是否合格等情况）将在安徽泰杰工程咨询有限公司（http://www.ahtaijie.com/）公告（如供应商相关业绩、证书属于涉密的，供应商须在投标文件中进行说明，且提供主管部门出具的证明材料，涉密部分不予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特别提示</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为贯彻落实中央、省、市“扫 黑除恶”专项斗争有关文件和会议精神，净化我市公共资源交易环境，对在交易过程中如发现有涉嫌围标、串标、恶意竞标的违法违规人员，依据相关规定，将线索移送市扫黑办。</w:t>
            </w:r>
          </w:p>
          <w:p>
            <w:pPr>
              <w:rPr>
                <w:rFonts w:ascii="宋体" w:hAnsi="宋体"/>
                <w:szCs w:val="21"/>
              </w:rPr>
            </w:pPr>
            <w:r>
              <w:rPr>
                <w:rFonts w:hint="eastAsia" w:ascii="宋体" w:hAnsi="宋体"/>
                <w:szCs w:val="21"/>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pPr>
        <w:pStyle w:val="45"/>
        <w:spacing w:before="156"/>
        <w:ind w:left="0" w:leftChars="0" w:firstLine="0" w:firstLineChars="0"/>
        <w:rPr>
          <w:rFonts w:asciiTheme="minorEastAsia" w:hAnsiTheme="minorEastAsia" w:eastAsiaTheme="minorEastAsia" w:cstheme="minorEastAsia"/>
          <w:kern w:val="0"/>
          <w:sz w:val="30"/>
          <w:szCs w:val="20"/>
        </w:rPr>
      </w:pPr>
    </w:p>
    <w:p>
      <w:pPr>
        <w:pStyle w:val="58"/>
        <w:rPr>
          <w:rFonts w:asciiTheme="minorEastAsia" w:hAnsiTheme="minorEastAsia" w:eastAsiaTheme="minorEastAsia" w:cstheme="minorEastAsia"/>
        </w:rPr>
      </w:pPr>
      <w:bookmarkStart w:id="52" w:name="_Toc18272"/>
      <w:bookmarkStart w:id="53" w:name="_Toc25471"/>
      <w:r>
        <w:rPr>
          <w:rFonts w:hint="eastAsia" w:asciiTheme="minorEastAsia" w:hAnsiTheme="minorEastAsia" w:eastAsiaTheme="minorEastAsia" w:cstheme="minorEastAsia"/>
        </w:rPr>
        <w:t>第二节  投标人须知</w:t>
      </w:r>
      <w:bookmarkEnd w:id="51"/>
      <w:bookmarkEnd w:id="52"/>
      <w:bookmarkEnd w:id="53"/>
    </w:p>
    <w:p>
      <w:pPr>
        <w:pStyle w:val="8"/>
        <w:ind w:firstLine="472" w:firstLineChars="196"/>
        <w:jc w:val="both"/>
        <w:rPr>
          <w:rFonts w:asciiTheme="minorEastAsia" w:hAnsiTheme="minorEastAsia" w:eastAsiaTheme="minorEastAsia" w:cstheme="minorEastAsia"/>
        </w:rPr>
      </w:pPr>
      <w:bookmarkStart w:id="54" w:name="_Toc18652"/>
      <w:bookmarkStart w:id="55" w:name="_Toc7034"/>
      <w:r>
        <w:rPr>
          <w:rFonts w:hint="eastAsia" w:asciiTheme="minorEastAsia" w:hAnsiTheme="minorEastAsia" w:eastAsiaTheme="minorEastAsia" w:cstheme="minorEastAsia"/>
        </w:rPr>
        <w:t>一、总则</w:t>
      </w:r>
      <w:bookmarkEnd w:id="54"/>
      <w:bookmarkEnd w:id="55"/>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本招标文件根据《中华人民共和国政府采购法》（以下简称“《政府采购法》”）和《中华人民共和国政府采购法实施条例》等有关法律、法规、规章制定。</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2、定义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2.1、采购单位是指采购人和采购代理机构。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2.2、投标人是指对“投标人须知前附表”序号2所指的项目表现出兴趣，按照</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的程序，从采购单位获取了招标文件，并实际参与了该项目投标活动的供应商。</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3、投标人资格要求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3.1、参与本项目的投标人必须满足的要求：详见投标人须知前附表。</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3.2、投标人之间如果存在下列情形之一的，不得同时参加同一包别或者不分包别的同一项目投标：</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单位负责人为同一人或者存在直接控股、管理关系的不同供应商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除单一来源采购项目外，为采购项目提供整体设计、规范编制或者项目管理、监理、检测等服务的供应商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3.4、投标人必须确保自己信息真实、准确，否则，投标人因此蒙受损失，采购单位概不负责。</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rPr>
        <w:t>4、踏勘现场：</w:t>
      </w:r>
      <w:r>
        <w:rPr>
          <w:rFonts w:hint="eastAsia" w:asciiTheme="minorEastAsia" w:hAnsiTheme="minorEastAsia" w:eastAsiaTheme="minorEastAsia" w:cstheme="minorEastAsia"/>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pPr>
        <w:adjustRightInd w:val="0"/>
        <w:spacing w:line="46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5、联合体投标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5.1、除非本项目明确要求不接受联合体形式投标外，两个或两个以上供应商可以组成一个联合体投标，以一个投标人的身份投标。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5.2、以联合体形式参加投标的，联合体各方均应当符合《政府采购法》第二十二条第一款规定的条件，根据采购项目的特殊要求规定投标人特定条件的，联合体各方中至少应当有一方符合。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5.3、联合体各方之间应当签订联合体协议，明确规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也不得组成新的联合体参加同一项目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rPr>
        <w:t>6、投标费用：</w:t>
      </w:r>
      <w:r>
        <w:rPr>
          <w:rFonts w:hint="eastAsia" w:asciiTheme="minorEastAsia" w:hAnsiTheme="minorEastAsia" w:eastAsiaTheme="minorEastAsia" w:cstheme="minorEastAsia"/>
          <w:szCs w:val="21"/>
        </w:rPr>
        <w:t>投标人必须自行承担参加投标的所有费用。不论中标与否，采购单位在任何情况下均无义务和责任承担这些费用。</w:t>
      </w:r>
    </w:p>
    <w:p>
      <w:pPr>
        <w:pStyle w:val="8"/>
        <w:ind w:firstLine="472" w:firstLineChars="196"/>
        <w:rPr>
          <w:rFonts w:asciiTheme="minorEastAsia" w:hAnsiTheme="minorEastAsia" w:eastAsiaTheme="minorEastAsia" w:cstheme="minorEastAsia"/>
        </w:rPr>
      </w:pPr>
      <w:bookmarkStart w:id="56" w:name="_Toc225"/>
      <w:bookmarkStart w:id="57" w:name="_Toc8536"/>
      <w:r>
        <w:rPr>
          <w:rFonts w:hint="eastAsia" w:asciiTheme="minorEastAsia" w:hAnsiTheme="minorEastAsia" w:eastAsiaTheme="minorEastAsia" w:cstheme="minorEastAsia"/>
        </w:rPr>
        <w:t>二、招标文件</w:t>
      </w:r>
      <w:bookmarkEnd w:id="56"/>
      <w:bookmarkEnd w:id="57"/>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7、招标文件的构成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7.1、招标文件包括：</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第一章 招标公告</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第二章 投标人须知</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第三章 评标方法和标准</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第四章 采购需求</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第五章 政府采购合同</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第六章 投标文件格式</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第七章 政府采购供应商质疑函范本</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7.2、投标人应认真阅读和充分理解招标文件中所有的内容。如果投标人没有满足招标文件的有关要求，其风险由投标人自行承担。</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7.3、投标人获取招标文件后，应仔细检查招标文件的所有内容，如有残缺、文本不清晰、表述不一致等问题应在获得招标文件 3 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该投标有可能被拒绝。</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8、招标文件的澄清与修改</w:t>
      </w:r>
    </w:p>
    <w:p>
      <w:pPr>
        <w:spacing w:line="360" w:lineRule="auto"/>
        <w:rPr>
          <w:rFonts w:ascii="宋体" w:hAnsi="宋体"/>
          <w:szCs w:val="21"/>
        </w:rPr>
      </w:pPr>
      <w:bookmarkStart w:id="58" w:name="_Toc10261"/>
      <w:bookmarkStart w:id="59" w:name="_Toc9821"/>
      <w:r>
        <w:rPr>
          <w:rFonts w:hint="eastAsia" w:ascii="宋体" w:hAnsi="宋体"/>
          <w:szCs w:val="21"/>
        </w:rPr>
        <w:t xml:space="preserve">   8.1、投标人可以要求采购单位对招标文件中的有关问题进行答疑或澄清。</w:t>
      </w:r>
    </w:p>
    <w:p>
      <w:pPr>
        <w:spacing w:line="360" w:lineRule="auto"/>
        <w:rPr>
          <w:rFonts w:ascii="宋体" w:hAnsi="宋体"/>
          <w:szCs w:val="21"/>
        </w:rPr>
      </w:pPr>
      <w:r>
        <w:rPr>
          <w:rFonts w:hint="eastAsia" w:ascii="宋体" w:hAnsi="宋体"/>
          <w:szCs w:val="21"/>
        </w:rPr>
        <w:t xml:space="preserve">   8.2、投标人对招标文件如有质疑，应在收到招标文件之日或者招标文件公告期限届满之日起7个工作日内向安徽泰杰工程咨询有限公司提交纸质质询函。</w:t>
      </w:r>
    </w:p>
    <w:p>
      <w:pPr>
        <w:spacing w:line="360" w:lineRule="auto"/>
        <w:rPr>
          <w:rFonts w:ascii="宋体" w:hAnsi="宋体"/>
          <w:szCs w:val="21"/>
        </w:rPr>
      </w:pPr>
      <w:r>
        <w:rPr>
          <w:rFonts w:hint="eastAsia" w:ascii="宋体" w:hAnsi="宋体"/>
          <w:szCs w:val="21"/>
        </w:rPr>
        <w:t xml:space="preserve">   8.3、如果投标人未在规定的时间内对招标文件有关条款提出质疑，则视为充分理解招标文件所有内容。一旦提交投标文件，则认为该投标人接受招标文件的所有条款。</w:t>
      </w:r>
    </w:p>
    <w:p>
      <w:pPr>
        <w:spacing w:line="360" w:lineRule="auto"/>
        <w:ind w:firstLine="210" w:firstLineChars="100"/>
        <w:rPr>
          <w:rFonts w:ascii="宋体" w:hAnsi="宋体"/>
          <w:b/>
          <w:szCs w:val="21"/>
        </w:rPr>
      </w:pPr>
      <w:r>
        <w:rPr>
          <w:rFonts w:hint="eastAsia" w:ascii="宋体" w:hAnsi="宋体"/>
          <w:szCs w:val="21"/>
        </w:rPr>
        <w:t xml:space="preserve">  8.4、采购单位对在规定时间收到的、且需要做出澄清的问题，将以本须知所述方式进行答复，但不说明问题的来源。</w:t>
      </w:r>
    </w:p>
    <w:p>
      <w:pPr>
        <w:spacing w:line="360" w:lineRule="auto"/>
        <w:rPr>
          <w:rFonts w:ascii="宋体" w:hAnsi="宋体"/>
          <w:szCs w:val="21"/>
        </w:rPr>
      </w:pPr>
      <w:r>
        <w:rPr>
          <w:rFonts w:hint="eastAsia" w:ascii="宋体" w:hAnsi="宋体"/>
          <w:szCs w:val="21"/>
        </w:rPr>
        <w:t xml:space="preserve">    8.5、采购单位可以对招标文件进行修改。</w:t>
      </w:r>
    </w:p>
    <w:p>
      <w:pPr>
        <w:spacing w:line="360" w:lineRule="auto"/>
        <w:ind w:firstLine="422" w:firstLineChars="200"/>
        <w:rPr>
          <w:rFonts w:ascii="宋体" w:hAnsi="宋体"/>
          <w:b/>
          <w:bCs/>
          <w:szCs w:val="21"/>
        </w:rPr>
      </w:pPr>
      <w:r>
        <w:rPr>
          <w:rFonts w:hint="eastAsia" w:ascii="宋体" w:hAnsi="宋体"/>
          <w:b/>
          <w:bCs/>
          <w:szCs w:val="21"/>
        </w:rPr>
        <w:t>8.6、采购单位对投标人质疑的答复和对招标文件的</w:t>
      </w:r>
      <w:r>
        <w:rPr>
          <w:rFonts w:ascii="宋体" w:hAnsi="宋体"/>
          <w:b/>
          <w:bCs/>
          <w:szCs w:val="21"/>
        </w:rPr>
        <w:t>澄</w:t>
      </w:r>
      <w:r>
        <w:rPr>
          <w:rFonts w:hint="eastAsia" w:ascii="宋体" w:hAnsi="宋体"/>
          <w:b/>
          <w:bCs/>
          <w:szCs w:val="21"/>
        </w:rPr>
        <w:t>清、修改、补充说明等内容通过</w:t>
      </w:r>
      <w:r>
        <w:rPr>
          <w:rFonts w:hint="eastAsia" w:ascii="宋体" w:hAnsi="宋体"/>
          <w:szCs w:val="21"/>
        </w:rPr>
        <w:t>安徽泰杰工程咨询有限公司（http://www.ahtaijie.com/）</w:t>
      </w:r>
      <w:r>
        <w:rPr>
          <w:rFonts w:hint="eastAsia" w:ascii="宋体" w:hAnsi="宋体"/>
          <w:b/>
          <w:bCs/>
          <w:szCs w:val="21"/>
        </w:rPr>
        <w:t>发布，该修改内容作为招标文件的组成部分，具有约束作用。</w:t>
      </w:r>
    </w:p>
    <w:p>
      <w:pPr>
        <w:spacing w:line="360" w:lineRule="auto"/>
        <w:rPr>
          <w:rFonts w:ascii="宋体" w:hAnsi="宋体"/>
          <w:szCs w:val="21"/>
        </w:rPr>
      </w:pPr>
      <w:r>
        <w:rPr>
          <w:rFonts w:hint="eastAsia" w:ascii="宋体" w:hAnsi="宋体"/>
          <w:szCs w:val="21"/>
        </w:rPr>
        <w:t xml:space="preserve">    8.7、当招标文件与对招标文件的澄清、修改、补充等在同一内容的表述上不一致时，以最后发出的为准。</w:t>
      </w:r>
    </w:p>
    <w:p>
      <w:pPr>
        <w:spacing w:line="360" w:lineRule="auto"/>
        <w:rPr>
          <w:rFonts w:ascii="宋体" w:hAnsi="宋体"/>
          <w:szCs w:val="21"/>
        </w:rPr>
      </w:pPr>
      <w:r>
        <w:rPr>
          <w:rFonts w:hint="eastAsia" w:ascii="宋体" w:hAnsi="宋体"/>
          <w:szCs w:val="21"/>
        </w:rPr>
        <w:t xml:space="preserve">    8.8、为使投标人有充分时间对招标文件的澄清、修改、补充部分进行研究，或是由于其他原因，采购单位可以决定顺延投标截止时间，具体时间通过安徽泰杰工程咨询有限公司（http://www.ahtaijie.com/）发布。</w:t>
      </w:r>
    </w:p>
    <w:p>
      <w:pPr>
        <w:pStyle w:val="8"/>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三、投标文件的编制</w:t>
      </w:r>
      <w:bookmarkEnd w:id="58"/>
      <w:bookmarkEnd w:id="59"/>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9、投标的语言及度量衡单位</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9.1、投标人的投标文件、投标人与采购单位就投标的所有往来函电，均须使用简体中文。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9.2、除招标文件中另有</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外，投标文件所使用的度量衡均须采用中华人民共和国法定计量单位。</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10、投标文件的构成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10.1、投标文件应该按照“投标文件格式”</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的内容和顺序进行编写。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10.2、投标人应提交“投标人须知前附表”中</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10.3、投标人必须对其投标文件的真实性与准确性负责。投标人一旦中标，其投标文件将作为合同的重要组成部分。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10.4、投标人提供的产品质量和服务均能满足招标文件</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的实质性要求。否则，其投标文件在评标时有可能被认为是对招标文件未做出实质性的响应，而被评标委员会终止对其作进一步的评审。</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11、投标报价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11.1、投标文件的分项报价表上应清楚地标明投标人</w:t>
      </w:r>
      <w:r>
        <w:rPr>
          <w:rFonts w:hint="eastAsia" w:asciiTheme="minorEastAsia" w:hAnsiTheme="minorEastAsia" w:eastAsiaTheme="minorEastAsia" w:cstheme="minorEastAsia"/>
          <w:color w:val="000000"/>
          <w:szCs w:val="21"/>
        </w:rPr>
        <w:t>拟提供服务的名称、人员、设备、价格等内容。单价不作为合同结算依据。</w:t>
      </w:r>
      <w:r>
        <w:rPr>
          <w:rFonts w:hint="eastAsia" w:asciiTheme="minorEastAsia" w:hAnsiTheme="minorEastAsia" w:eastAsiaTheme="minorEastAsia" w:cstheme="minorEastAsia"/>
          <w:b/>
          <w:color w:val="000000"/>
          <w:szCs w:val="21"/>
        </w:rPr>
        <w:t>单价不作为合同结算依据。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11.2、除非特别要求，每个项目（或每个包）只允许有一个方案、一个报价。多方案、多报价的投标文件将视为无效投标文件。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11.3、投标人的报价应包含满足本次采购需求的所有费用（</w:t>
      </w:r>
      <w:r>
        <w:rPr>
          <w:rFonts w:hint="eastAsia" w:asciiTheme="minorEastAsia" w:hAnsiTheme="minorEastAsia" w:eastAsiaTheme="minorEastAsia" w:cstheme="minorEastAsia"/>
          <w:color w:val="000000"/>
          <w:szCs w:val="21"/>
        </w:rPr>
        <w:t>包括但不限于：人工费、材料费、交通费、培训费、印刷费、管理费、保险、税金等）。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11.4、投标报价高于最高投标限价的投标无效。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11.5、投标文件内容不一致的确认。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11.5.1、投标文件中投标函(投标报价)与投标文件中相应内容不一致的,以投标函(投标报价)为准;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11.5.2、若大写金额和小写金额不一致的，以大写金额为准;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11.5.3、单价金额小数点或者百分比有明显错位的，应以投标函(投标报价)为准，并修正单价。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同时出现两种以上不一致的，按照以上规定的顺序修正</w:t>
      </w:r>
      <w:r>
        <w:rPr>
          <w:rFonts w:hint="eastAsia" w:asciiTheme="minorEastAsia" w:hAnsiTheme="minorEastAsia" w:eastAsiaTheme="minorEastAsia" w:cstheme="minorEastAsia"/>
          <w:color w:val="000000" w:themeColor="text1"/>
          <w:szCs w:val="21"/>
          <w14:textFill>
            <w14:solidFill>
              <w14:schemeClr w14:val="tx1"/>
            </w14:solidFill>
          </w14:textFill>
        </w:rPr>
        <w:t>。修正后的报价应当通</w:t>
      </w:r>
      <w:r>
        <w:rPr>
          <w:rFonts w:hint="eastAsia" w:asciiTheme="minorEastAsia" w:hAnsiTheme="minorEastAsia" w:eastAsiaTheme="minorEastAsia" w:cstheme="minorEastAsia"/>
          <w:szCs w:val="21"/>
        </w:rPr>
        <w:t>过电子交易系统提交</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color w:val="000000" w:themeColor="text1"/>
          <w:szCs w:val="21"/>
          <w14:textFill>
            <w14:solidFill>
              <w14:schemeClr w14:val="tx1"/>
            </w14:solidFill>
          </w14:textFill>
        </w:rPr>
        <w:t>并加盖公章或者由法定代表人或其委托代理人签字,</w:t>
      </w:r>
      <w:r>
        <w:rPr>
          <w:rFonts w:hint="eastAsia" w:asciiTheme="minorEastAsia" w:hAnsiTheme="minorEastAsia" w:eastAsiaTheme="minorEastAsia" w:cstheme="minorEastAsia"/>
          <w:szCs w:val="21"/>
        </w:rPr>
        <w:t>但不得超出投标文件的范围或者改变投标文件的实质性内容。经投标人确认后产生约束力，投标人不确认的，其投标无效。</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12、投标货币：</w:t>
      </w:r>
      <w:r>
        <w:rPr>
          <w:rFonts w:hint="eastAsia" w:asciiTheme="minorEastAsia" w:hAnsiTheme="minorEastAsia" w:eastAsiaTheme="minorEastAsia" w:cstheme="minorEastAsia"/>
          <w:szCs w:val="21"/>
        </w:rPr>
        <w:t>人民币。</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13、下述情形的处理：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13.1、投标人有下列情形之一的，记入不良行为记录：</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（1）投标截止后，投标人在投标有效期内撤销投标文件的；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（2）中标人无正当理由不与采购人订立合同的，或在签订合同时向采购人提出附加条件的；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（3）不按照招标文件要求提交履约保证金的；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（4）将中标项目转让给他人，或未按相关规定将中标项目分包给他人的；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（5）中标人拒绝履行合同义务的；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（6）提供虚假材料谋取中标、成交的；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（7）采取不正当手段诋毁、排挤其他供应商的；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（8）与采购单位、其他投标人恶意串通的；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（9）视为投标人串通投标的；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（10）向采购单位行贿或者提供其他不正当利益的；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（11）在招标采购过程中与采购人进行协商谈判、不按照招标文件和中标人的投标文件订立合同，或者与采购人另行订立背离合同实质性内容的协议；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（12）拒绝有关部门监督检查或者提供虚假情况的；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（13）受到财政部门依法作出的禁止参加政府采购活动且在有效期内的行政处罚；</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（14）法律、法规规定及招标文件约定的其他情形。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投标人上述行为给采购人造成的损失，投标人应当予以赔偿。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13.2、有下列情形之一的，视为投标人串通投标，视为投标无效：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（1）不同投标人的投标文件由同一单位或者个人编制；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（3）不同投标人的投标文件载明的项目管理成员或联系人员为同一人；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13.3、投标人在本项目招标过程中有下列行为之一的，中标无效，给采购人造成的损失，投标人还应予以赔偿。构成犯罪的，依法追究刑事责任。</w:t>
      </w:r>
    </w:p>
    <w:p>
      <w:pPr>
        <w:widowControl/>
        <w:spacing w:line="5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（1）中标后无正当理由不与采购单位签订合同的；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Cs w:val="21"/>
        </w:rPr>
        <w:t>在签订合同时向采购人提出附加条件，或者不按照招标文件要求提交履约保证金的；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（3）将中标项目转让给他人、或在投标文件中未说明，将中标项目分包给他人的；</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Cs w:val="21"/>
        </w:rPr>
        <w:t>投标人相互串通投标或者与采购人串通投标的；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（5）投标人以向采购人或者评标委员会成员行贿的手段谋取中标的；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（6）投标人以他人名义投标或者以其他方式弄虚作假，骗取中标的；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（7）违法与采购人就投标价格、投标方案等实质性内容进行谈判，影响中标结果的；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（8）法律、法规规定及招标文件约定的其他情形。</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14、投标有效期</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14.1、投标有效期见“投标人须知前附表”的约定。</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14.2、在投标有效期内，投标人不得要求撤销或修改其投标文件。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在特殊情况下，采购单位可于原投标有效期满之前，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招标文件和其投标文件所有内容。提出投标有效期的延长要求和中标候选人对该要求的答复均采用书面形式。</w:t>
      </w:r>
    </w:p>
    <w:p>
      <w:pPr>
        <w:pStyle w:val="15"/>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15、投标文件的签署</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15.1、投标人应按招标文件约定的格式，编制并提交投标文件。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15.2、投标文件应由投标人的法定代表人加盖印章，并加盖投标人公章。委托代理人须将授权委托书及其身份证复印件附在投标文件中。</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15.3、投标文件不得行间插字、涂改或增删。</w:t>
      </w:r>
    </w:p>
    <w:p>
      <w:pPr>
        <w:widowControl/>
        <w:spacing w:line="500" w:lineRule="exact"/>
        <w:ind w:firstLine="420"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15.4、</w:t>
      </w:r>
      <w:r>
        <w:rPr>
          <w:rFonts w:hint="eastAsia" w:asciiTheme="minorEastAsia" w:hAnsiTheme="minorEastAsia" w:eastAsiaTheme="minorEastAsia" w:cstheme="minorEastAsia"/>
          <w:bCs/>
          <w:szCs w:val="21"/>
        </w:rPr>
        <w:t>投标文件投标函、分项报价表、投标响应表均应加盖投标人公章并经法定代表人加盖印章。投标文件投标函、分项报价表、投标响应表不符合招标文件要求的，视为无效标。授权委托书格式、盖章及内容均应符合招标文件要求，否则授权委托书无效。</w:t>
      </w:r>
    </w:p>
    <w:p>
      <w:pPr>
        <w:pStyle w:val="8"/>
        <w:numPr>
          <w:ilvl w:val="0"/>
          <w:numId w:val="3"/>
        </w:numPr>
        <w:ind w:firstLine="472" w:firstLineChars="196"/>
        <w:rPr>
          <w:rFonts w:asciiTheme="minorEastAsia" w:hAnsiTheme="minorEastAsia" w:eastAsiaTheme="minorEastAsia" w:cstheme="minorEastAsia"/>
        </w:rPr>
      </w:pPr>
      <w:bookmarkStart w:id="60" w:name="_Toc30365"/>
      <w:bookmarkStart w:id="61" w:name="_Toc25319"/>
      <w:r>
        <w:rPr>
          <w:rFonts w:hint="eastAsia" w:asciiTheme="minorEastAsia" w:hAnsiTheme="minorEastAsia" w:eastAsiaTheme="minorEastAsia" w:cstheme="minorEastAsia"/>
        </w:rPr>
        <w:t>投标文件的提交</w:t>
      </w:r>
      <w:bookmarkEnd w:id="60"/>
      <w:bookmarkEnd w:id="61"/>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16、提交说明</w:t>
      </w:r>
    </w:p>
    <w:p>
      <w:pPr>
        <w:spacing w:line="360" w:lineRule="auto"/>
        <w:ind w:firstLine="420" w:firstLineChars="200"/>
        <w:rPr>
          <w:rFonts w:ascii="宋体" w:hAnsi="宋体"/>
          <w:szCs w:val="21"/>
        </w:rPr>
      </w:pPr>
      <w:r>
        <w:rPr>
          <w:rFonts w:hint="eastAsia" w:ascii="宋体" w:hAnsi="宋体"/>
          <w:szCs w:val="21"/>
        </w:rPr>
        <w:t>16.1、投标人须按投标人须知前附表要求递交纸质投标文件。</w:t>
      </w:r>
    </w:p>
    <w:p>
      <w:pPr>
        <w:spacing w:line="360" w:lineRule="auto"/>
        <w:ind w:firstLine="420" w:firstLineChars="200"/>
        <w:rPr>
          <w:rFonts w:ascii="宋体" w:hAnsi="宋体"/>
          <w:szCs w:val="21"/>
        </w:rPr>
      </w:pPr>
      <w:r>
        <w:rPr>
          <w:rFonts w:hint="eastAsia" w:ascii="宋体" w:hAnsi="宋体"/>
          <w:szCs w:val="21"/>
        </w:rPr>
        <w:t>16.2、未按投标人须知前附表要求递交的投标文件，将不被接受。</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17、投标截止时间</w:t>
      </w:r>
    </w:p>
    <w:p>
      <w:pPr>
        <w:widowControl/>
        <w:spacing w:line="360" w:lineRule="auto"/>
        <w:ind w:firstLine="420" w:firstLineChars="200"/>
        <w:jc w:val="left"/>
        <w:rPr>
          <w:rFonts w:ascii="宋体" w:hAnsi="宋体"/>
          <w:szCs w:val="21"/>
        </w:rPr>
      </w:pPr>
      <w:r>
        <w:rPr>
          <w:rFonts w:hint="eastAsia" w:ascii="宋体" w:hAnsi="宋体"/>
          <w:szCs w:val="21"/>
        </w:rPr>
        <w:t>17.1、投标人应在投标人须知前附表中约定的投标截止时间前将纸质投标文件递交。逾期递交的投标文件，采购单位不予受理。</w:t>
      </w:r>
    </w:p>
    <w:p>
      <w:pPr>
        <w:widowControl/>
        <w:spacing w:line="360" w:lineRule="auto"/>
        <w:ind w:firstLine="420" w:firstLineChars="200"/>
        <w:jc w:val="left"/>
        <w:rPr>
          <w:rFonts w:ascii="宋体" w:hAnsi="宋体"/>
          <w:szCs w:val="21"/>
        </w:rPr>
      </w:pPr>
      <w:r>
        <w:rPr>
          <w:rFonts w:hint="eastAsia" w:ascii="宋体" w:hAnsi="宋体"/>
          <w:szCs w:val="21"/>
        </w:rPr>
        <w:t>17.2、采购人有权按本须知的规定，通过修改招标文件相关条款以延长投标截止时间。在此情况下，采购人和投标人受投标截止时间制约的所有权利和义务均应延长至新的投标截止时间。</w:t>
      </w:r>
    </w:p>
    <w:p>
      <w:pPr>
        <w:widowControl/>
        <w:spacing w:line="360" w:lineRule="auto"/>
        <w:ind w:firstLine="420" w:firstLineChars="200"/>
        <w:jc w:val="left"/>
        <w:rPr>
          <w:rFonts w:ascii="宋体" w:hAnsi="宋体"/>
          <w:szCs w:val="21"/>
        </w:rPr>
      </w:pPr>
      <w:r>
        <w:rPr>
          <w:rFonts w:hint="eastAsia" w:ascii="宋体" w:hAnsi="宋体"/>
          <w:szCs w:val="21"/>
        </w:rPr>
        <w:t>17.3.采购单位将拒绝接收在供应商须知前附表中规定的投标截止时间后收到的任何投标文件。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18、投标文件的修改与撤回</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18.1、投标人提交投标文件以后，在约定的投标截止时间之前，可以撤回已提交的投标文件，补充修改后重新递交。</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18.2、在投标截止时间之后，投标人不得对其投标文件做任何修改。</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18.3、在规定的投标有效期内，投标人不得撤回其投标文件。</w:t>
      </w:r>
    </w:p>
    <w:p>
      <w:pPr>
        <w:pStyle w:val="8"/>
        <w:ind w:firstLine="472" w:firstLineChars="196"/>
        <w:rPr>
          <w:rFonts w:asciiTheme="minorEastAsia" w:hAnsiTheme="minorEastAsia" w:eastAsiaTheme="minorEastAsia" w:cstheme="minorEastAsia"/>
        </w:rPr>
      </w:pPr>
      <w:bookmarkStart w:id="62" w:name="_Toc23598"/>
      <w:bookmarkStart w:id="63" w:name="_Toc26823"/>
      <w:r>
        <w:rPr>
          <w:rFonts w:hint="eastAsia" w:asciiTheme="minorEastAsia" w:hAnsiTheme="minorEastAsia" w:eastAsiaTheme="minorEastAsia" w:cstheme="minorEastAsia"/>
        </w:rPr>
        <w:t>五、开标</w:t>
      </w:r>
      <w:bookmarkEnd w:id="62"/>
      <w:bookmarkEnd w:id="63"/>
    </w:p>
    <w:p>
      <w:pPr>
        <w:spacing w:line="360" w:lineRule="auto"/>
        <w:ind w:firstLine="422" w:firstLineChars="200"/>
        <w:rPr>
          <w:rFonts w:ascii="宋体" w:hAnsi="宋体"/>
          <w:szCs w:val="21"/>
        </w:rPr>
      </w:pPr>
      <w:r>
        <w:rPr>
          <w:rFonts w:hint="eastAsia" w:asciiTheme="minorEastAsia" w:hAnsiTheme="minorEastAsia" w:eastAsiaTheme="minorEastAsia" w:cstheme="minorEastAsia"/>
          <w:b/>
          <w:bCs/>
          <w:szCs w:val="21"/>
        </w:rPr>
        <w:t>19、开标时间和地点：</w:t>
      </w:r>
      <w:r>
        <w:rPr>
          <w:rFonts w:hint="eastAsia" w:ascii="宋体" w:hAnsi="宋体"/>
          <w:szCs w:val="21"/>
        </w:rPr>
        <w:t>采购单位将在“投标人须知前附表”约定的时间, 在潜山市开发区八一大道与三合路交叉口1幢1号4楼会议室开标，项目监督人员、所有投标人的法定代表人或其授权委托人必须准时参加。</w:t>
      </w:r>
    </w:p>
    <w:p>
      <w:pPr>
        <w:spacing w:line="360" w:lineRule="auto"/>
        <w:ind w:firstLine="420" w:firstLineChars="200"/>
        <w:rPr>
          <w:rFonts w:ascii="宋体" w:hAnsi="宋体" w:cs="宋体"/>
          <w:bCs/>
        </w:rPr>
      </w:pPr>
      <w:r>
        <w:rPr>
          <w:rFonts w:hint="eastAsia" w:ascii="宋体" w:hAnsi="宋体" w:cs="宋体"/>
        </w:rPr>
        <w:t>开标时，</w:t>
      </w:r>
      <w:r>
        <w:rPr>
          <w:rFonts w:hint="eastAsia" w:ascii="宋体" w:hAnsi="宋体" w:cs="宋体"/>
          <w:b/>
        </w:rPr>
        <w:t>采购人委托的采购代理机构</w:t>
      </w:r>
      <w:r>
        <w:rPr>
          <w:rFonts w:hint="eastAsia" w:ascii="宋体" w:hAnsi="宋体" w:cs="宋体"/>
        </w:rPr>
        <w:t>进行查验，</w:t>
      </w:r>
      <w:r>
        <w:rPr>
          <w:rFonts w:hint="eastAsia" w:ascii="宋体" w:hAnsi="宋体" w:cs="宋体"/>
          <w:b/>
        </w:rPr>
        <w:t>否则，不予受理</w:t>
      </w:r>
      <w:r>
        <w:rPr>
          <w:rFonts w:hint="eastAsia" w:ascii="宋体" w:hAnsi="宋体" w:cs="宋体"/>
        </w:rPr>
        <w:t>：</w:t>
      </w:r>
    </w:p>
    <w:p>
      <w:pPr>
        <w:spacing w:line="360" w:lineRule="auto"/>
        <w:ind w:firstLine="708" w:firstLineChars="336"/>
        <w:rPr>
          <w:rFonts w:ascii="宋体" w:hAnsi="宋体" w:cs="宋体"/>
          <w:b/>
        </w:rPr>
      </w:pPr>
      <w:r>
        <w:rPr>
          <w:rFonts w:hint="eastAsia" w:ascii="宋体" w:hAnsi="宋体" w:cs="宋体"/>
          <w:b/>
        </w:rPr>
        <w:t>a.投标人代表若为法定代表人时，应提交法定代表人身份证明书，并出示有效二代居民身份证；</w:t>
      </w:r>
    </w:p>
    <w:p>
      <w:pPr>
        <w:spacing w:line="360" w:lineRule="auto"/>
        <w:ind w:firstLine="708" w:firstLineChars="336"/>
        <w:rPr>
          <w:rFonts w:ascii="宋体" w:hAnsi="宋体" w:cs="宋体"/>
          <w:b/>
        </w:rPr>
      </w:pPr>
      <w:r>
        <w:rPr>
          <w:rFonts w:hint="eastAsia" w:ascii="宋体" w:hAnsi="宋体" w:cs="宋体"/>
          <w:b/>
        </w:rPr>
        <w:t>b.投标人代表若为法定代表人授权委托人，授权委托代理人参加本次开标活动，应提交法定代表人签署的授权委托书，并出示有效二代居民身份证；（格式参照招标文件第五章投标文件格式中“法定代表人身份证明” 或“授权委托书”）</w:t>
      </w:r>
    </w:p>
    <w:p>
      <w:pPr>
        <w:spacing w:line="360" w:lineRule="auto"/>
        <w:ind w:firstLine="708" w:firstLineChars="336"/>
        <w:rPr>
          <w:rFonts w:ascii="宋体" w:hAnsi="宋体" w:cs="宋体"/>
          <w:b/>
        </w:rPr>
      </w:pPr>
      <w:r>
        <w:rPr>
          <w:rFonts w:hint="eastAsia" w:ascii="宋体" w:hAnsi="宋体" w:cs="宋体"/>
          <w:b/>
        </w:rPr>
        <w:t>c．投标文件不符合第二章投标人须知前附表要求密封和加写标记的投标文件，采购人予以拒收；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20、开标程序</w:t>
      </w:r>
    </w:p>
    <w:p>
      <w:pPr>
        <w:widowControl/>
        <w:spacing w:line="360" w:lineRule="auto"/>
        <w:ind w:firstLine="420" w:firstLineChars="200"/>
        <w:jc w:val="left"/>
        <w:rPr>
          <w:rFonts w:ascii="宋体" w:hAnsi="宋体"/>
          <w:szCs w:val="21"/>
        </w:rPr>
      </w:pPr>
      <w:r>
        <w:rPr>
          <w:rFonts w:hint="eastAsia" w:ascii="宋体" w:hAnsi="宋体"/>
          <w:szCs w:val="21"/>
        </w:rPr>
        <w:t>20.1、开标由采购单位代表主持，主持人按下列程序进行：</w:t>
      </w:r>
    </w:p>
    <w:p>
      <w:pPr>
        <w:widowControl/>
        <w:spacing w:line="360" w:lineRule="auto"/>
        <w:ind w:firstLine="420" w:firstLineChars="200"/>
        <w:jc w:val="left"/>
        <w:rPr>
          <w:rFonts w:ascii="宋体" w:hAnsi="宋体"/>
          <w:szCs w:val="21"/>
        </w:rPr>
      </w:pPr>
      <w:r>
        <w:rPr>
          <w:rFonts w:hint="eastAsia" w:ascii="宋体" w:hAnsi="宋体"/>
          <w:szCs w:val="21"/>
        </w:rPr>
        <w:t>20.1.1、宣布项目名称、介绍参会人员；</w:t>
      </w:r>
    </w:p>
    <w:p>
      <w:pPr>
        <w:widowControl/>
        <w:spacing w:line="360" w:lineRule="auto"/>
        <w:ind w:firstLine="420" w:firstLineChars="200"/>
        <w:jc w:val="left"/>
        <w:rPr>
          <w:rFonts w:ascii="宋体" w:hAnsi="宋体"/>
          <w:szCs w:val="21"/>
        </w:rPr>
      </w:pPr>
      <w:r>
        <w:rPr>
          <w:rFonts w:hint="eastAsia" w:ascii="宋体" w:hAnsi="宋体"/>
          <w:szCs w:val="21"/>
        </w:rPr>
        <w:t>20.1.2、宣布开标纪律；</w:t>
      </w:r>
    </w:p>
    <w:p>
      <w:pPr>
        <w:widowControl/>
        <w:spacing w:line="360" w:lineRule="auto"/>
        <w:ind w:firstLine="420" w:firstLineChars="200"/>
        <w:jc w:val="left"/>
        <w:rPr>
          <w:rFonts w:ascii="宋体" w:hAnsi="宋体"/>
          <w:szCs w:val="21"/>
        </w:rPr>
      </w:pPr>
      <w:r>
        <w:rPr>
          <w:rFonts w:hint="eastAsia" w:ascii="宋体" w:hAnsi="宋体"/>
          <w:szCs w:val="21"/>
        </w:rPr>
        <w:t>20.1.3、由采购人和监督人员代表查验投标人报名情况并宣布查验结果；</w:t>
      </w:r>
    </w:p>
    <w:p>
      <w:pPr>
        <w:widowControl/>
        <w:spacing w:line="360" w:lineRule="auto"/>
        <w:ind w:firstLine="420" w:firstLineChars="200"/>
        <w:jc w:val="left"/>
        <w:rPr>
          <w:rFonts w:ascii="宋体" w:hAnsi="宋体"/>
          <w:szCs w:val="21"/>
        </w:rPr>
      </w:pPr>
      <w:r>
        <w:rPr>
          <w:rFonts w:hint="eastAsia" w:ascii="宋体" w:hAnsi="宋体"/>
          <w:szCs w:val="21"/>
        </w:rPr>
        <w:t>20.1.6、依次开标，公布投标人名称、投标报价及投标函其他内容，并记录在案，同时各投标人签字确认；</w:t>
      </w:r>
      <w:r>
        <w:rPr>
          <w:rFonts w:hint="eastAsia" w:ascii="宋体" w:hAnsi="宋体"/>
          <w:szCs w:val="21"/>
        </w:rPr>
        <w:cr/>
      </w:r>
      <w:r>
        <w:rPr>
          <w:rFonts w:hint="eastAsia" w:ascii="宋体" w:hAnsi="宋体"/>
          <w:szCs w:val="21"/>
        </w:rPr>
        <w:t xml:space="preserve">    20.1.7、采购人代表、监督人、记录人等有关人员在开标记录表上签字确认；</w:t>
      </w:r>
      <w:r>
        <w:rPr>
          <w:rFonts w:hint="eastAsia" w:ascii="宋体" w:hAnsi="宋体"/>
          <w:szCs w:val="21"/>
        </w:rPr>
        <w:cr/>
      </w:r>
      <w:r>
        <w:rPr>
          <w:rFonts w:hint="eastAsia" w:ascii="宋体" w:hAnsi="宋体"/>
          <w:szCs w:val="21"/>
        </w:rPr>
        <w:t xml:space="preserve">    20.1.8、暂时休会，进入评审阶段；</w:t>
      </w:r>
    </w:p>
    <w:p>
      <w:pPr>
        <w:widowControl/>
        <w:spacing w:line="360" w:lineRule="auto"/>
        <w:ind w:firstLine="420" w:firstLineChars="200"/>
        <w:jc w:val="left"/>
        <w:rPr>
          <w:rFonts w:ascii="宋体" w:hAnsi="宋体"/>
          <w:szCs w:val="21"/>
        </w:rPr>
      </w:pPr>
      <w:r>
        <w:rPr>
          <w:rFonts w:hint="eastAsia" w:ascii="宋体" w:hAnsi="宋体"/>
          <w:szCs w:val="21"/>
        </w:rPr>
        <w:t>20.2、投标人必须对其投标文件中所有资料的真实性负责。若发现投标人有弄虚作假行为的，投标无效，由相关管理部门按照招标文件相应条款对其做相应处罚。</w:t>
      </w:r>
    </w:p>
    <w:p>
      <w:pPr>
        <w:widowControl/>
        <w:spacing w:line="360" w:lineRule="auto"/>
        <w:ind w:firstLine="420" w:firstLineChars="200"/>
        <w:jc w:val="left"/>
        <w:rPr>
          <w:rFonts w:ascii="宋体" w:hAnsi="宋体"/>
          <w:szCs w:val="21"/>
        </w:rPr>
      </w:pPr>
      <w:r>
        <w:rPr>
          <w:rFonts w:hint="eastAsia" w:ascii="宋体" w:hAnsi="宋体"/>
          <w:szCs w:val="21"/>
        </w:rPr>
        <w:t>20.3、投标人应当在投标截止时间前完成投标文件的提交，未在投标截止时间前提交有效纸质投标文件的，采购单位不予接收，视为未提交投标文件。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21、投标文件的有效性</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21.1、投标文件逾期递交的，将不予受理；</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21.2、开标过程中发现有下列情况的，由评标委员会评审后，认定为投标无效：</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21.2.1、投标人经查验不合格的、因投标人原因造成解密失败的。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21.2.2、未按约定格式提供、填写投标文件投标函、分项报价表、投标响应表或投标文件投标函、分项报价表、投标响应表未加盖投标人公章并经法定代表人加盖印章；</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21.2.3、投标报价高于最高投标费率的；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21.2.4、法律、法规及招标文件约定的其它情形。</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21.3、投标人存在下列情形之一，经评标委员会评审后，认定为投标无效：</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(1)被责令停业且处于有效期内的；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(2)被安庆市行政区域内公共资源交易监管部门限制投标资格且处于有效期内；</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(3)财产被接管或冻结可能影响本项目正常实施的；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(4)法律、法规规定及招标文件约定的其他情形。</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 各级人民政府财政部门依法对参加政府采购活动的供应商作出的禁止参加政府采购活动等行政处罚决定在全国范围内生效。投标人受到财政部门依法作出的禁止参加政府采购活动且在有效期内的行政处罚，其投标无效。</w:t>
      </w:r>
    </w:p>
    <w:p>
      <w:pPr>
        <w:pStyle w:val="8"/>
        <w:wordWrap/>
        <w:spacing w:line="360" w:lineRule="auto"/>
        <w:ind w:firstLine="472" w:firstLineChars="196"/>
        <w:rPr>
          <w:rFonts w:asciiTheme="minorEastAsia" w:hAnsiTheme="minorEastAsia" w:eastAsiaTheme="minorEastAsia" w:cstheme="minorEastAsia"/>
        </w:rPr>
      </w:pPr>
      <w:bookmarkStart w:id="64" w:name="_Toc14965"/>
      <w:bookmarkStart w:id="65" w:name="_Toc28310"/>
      <w:r>
        <w:rPr>
          <w:rFonts w:hint="eastAsia" w:asciiTheme="minorEastAsia" w:hAnsiTheme="minorEastAsia" w:eastAsiaTheme="minorEastAsia" w:cstheme="minorEastAsia"/>
        </w:rPr>
        <w:t>六、投标人资格审查</w:t>
      </w:r>
      <w:bookmarkEnd w:id="64"/>
    </w:p>
    <w:p>
      <w:pPr>
        <w:pStyle w:val="7"/>
        <w:spacing w:line="360" w:lineRule="auto"/>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22、经资格审查后，合格投标人不足3家的，不得评标。</w:t>
      </w:r>
    </w:p>
    <w:p>
      <w:pPr>
        <w:pStyle w:val="8"/>
        <w:ind w:firstLine="472" w:firstLineChars="196"/>
        <w:rPr>
          <w:rFonts w:asciiTheme="minorEastAsia" w:hAnsiTheme="minorEastAsia" w:eastAsiaTheme="minorEastAsia" w:cstheme="minorEastAsia"/>
        </w:rPr>
      </w:pPr>
      <w:bookmarkStart w:id="66" w:name="_Toc18586"/>
      <w:r>
        <w:rPr>
          <w:rFonts w:hint="eastAsia" w:asciiTheme="minorEastAsia" w:hAnsiTheme="minorEastAsia" w:eastAsiaTheme="minorEastAsia" w:cstheme="minorEastAsia"/>
        </w:rPr>
        <w:t>七、评标</w:t>
      </w:r>
      <w:bookmarkEnd w:id="65"/>
      <w:bookmarkEnd w:id="66"/>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    23、评标委员会</w:t>
      </w:r>
      <w:r>
        <w:rPr>
          <w:rFonts w:hint="eastAsia" w:asciiTheme="minorEastAsia" w:hAnsiTheme="minorEastAsia" w:eastAsiaTheme="minorEastAsia" w:cstheme="minorEastAsia"/>
          <w:szCs w:val="21"/>
        </w:rPr>
        <w:t>（以下简称“评委会”）：评委会依法组建，其中采购人代表1人。采购人代表不得担任评委会组长。评标由评委会进行，评委应坚持公正、公平、诚实守信、实事求是、独立评标的原则。</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24、评标方法：</w:t>
      </w:r>
      <w:r>
        <w:rPr>
          <w:rFonts w:hint="eastAsia" w:ascii="宋体" w:hAnsi="宋体" w:cs="宋体"/>
          <w:szCs w:val="21"/>
        </w:rPr>
        <w:t>采用综合评分方法。</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25、开标评标异常情况处理</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25.1、在招标采购中，出现下列情况之一的，应予废标，采购单位重新组织采购：</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 符合专业条件的投标人或者对招标文件作实质响应的投标人不足三家的；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出现影响采购公正的违法、违规行为的；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投标人的报价均超过了最高投标费率，采购人不能支付的；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因重大变故，采购任务取消的。</w:t>
      </w:r>
    </w:p>
    <w:p>
      <w:pPr>
        <w:pStyle w:val="44"/>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25.2、因此项目前两次招标失败，依据安庆市人民政府办公室宜政办秘[2019]2号《安庆市人民政府办公室关于印发安庆市公共资源交易方式管理暂行办法的通知》文件第十二条规定，采购货物或服务公开招标失败后，采购方式审批按以下原则办理:</w:t>
      </w:r>
    </w:p>
    <w:p>
      <w:pPr>
        <w:pStyle w:val="44"/>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(一)经评标委员会评审，属于招标文件存在不合理条款，招标公告时间及程序不符合规定导致失败的，采购人应予以纠正并依法重新公开招标。</w:t>
      </w:r>
    </w:p>
    <w:p>
      <w:pPr>
        <w:pStyle w:val="44"/>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(二)公开招标失败后，同时符合以下条件的，采购人征得原审核单位同意后，可现场提出转为竞争性谈判方式，补办相关审批手续:</w:t>
      </w:r>
    </w:p>
    <w:p>
      <w:pPr>
        <w:pStyle w:val="44"/>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(1)开标前，采购人或交易服务机构未收到潜在供应商任何关于倾向性的质疑;</w:t>
      </w:r>
    </w:p>
    <w:p>
      <w:pPr>
        <w:pStyle w:val="44"/>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(2)经评标委员会评审，对招标文件作出实质性响应的合格供应商为2家;</w:t>
      </w:r>
    </w:p>
    <w:p>
      <w:pPr>
        <w:pStyle w:val="44"/>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(3)经评标委员会评审，该项目招标文件条款设置合理，招标公告时间及程序符合相关规定。 </w:t>
      </w:r>
    </w:p>
    <w:p>
      <w:pPr>
        <w:pStyle w:val="44"/>
        <w:ind w:left="420" w:leftChars="200" w:firstLine="63" w:firstLineChars="30"/>
        <w:rPr>
          <w:rFonts w:eastAsiaTheme="minorEastAsia"/>
        </w:rPr>
      </w:pPr>
      <w:r>
        <w:rPr>
          <w:rFonts w:hint="eastAsia" w:asciiTheme="minorEastAsia" w:hAnsiTheme="minorEastAsia" w:eastAsiaTheme="minorEastAsia" w:cstheme="minorEastAsia"/>
        </w:rPr>
        <w:t>（4）如只有一家投标供应商符合要求，即这家符合的投标供应商为此项目的中标候选人。</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26、评标过程的保密性</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26.1、开标后，直到授予中标人合同止，凡是与投标文件审查、澄清、评价、比较以及授标建议等评审方面的情况，均不得向投标人或其他无关的人员透露。</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26.2、在评标过程中，投标人如向评委会成员施加任何影响，都将会导致其投标文件被拒绝。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26.3、中标人确定后，采购单位不对未中标人就评标过程以及未能中标原因做出任何解释。投标人不得向评委会组成人员或其他有关人员询问评标过程的情况和要求提供材料。</w:t>
      </w:r>
      <w:bookmarkStart w:id="67" w:name="_Toc15032"/>
      <w:bookmarkStart w:id="68" w:name="_Toc418517858"/>
      <w:bookmarkStart w:id="69" w:name="_Toc417655921"/>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26.4、服务费</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26.4.1、中标人应在收到缴费通知后三日内按招标文件要求缴纳服务费</w:t>
      </w:r>
      <w:r>
        <w:rPr>
          <w:rFonts w:hint="eastAsia" w:asciiTheme="minorEastAsia" w:hAnsiTheme="minorEastAsia" w:eastAsiaTheme="minorEastAsia" w:cstheme="minorEastAsia"/>
          <w:color w:val="000000"/>
          <w:szCs w:val="21"/>
        </w:rPr>
        <w:t>，完成缴费后请在7个工作日内前来开具增值税发票，逾期按普票开具，不再开具专票。</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26.4.2、服务费按差额定率累进法计算。以中标价为计算基数，按下表约定的服务招标标准的100%收取。</w:t>
      </w:r>
    </w:p>
    <w:tbl>
      <w:tblPr>
        <w:tblStyle w:val="2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42"/>
        <w:gridCol w:w="184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5.35pt;margin-top:1.05pt;height:38.85pt;width:143.95pt;z-index:251661312;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bae9cAAAAIAQAADwAAAAAA&#10;AAABACAAAAAiAAAAZHJzL2Rvd25yZXYueG1sUEsBAhQAFAAAAAgAh07iQLibXaHbAQAA4AMAAA4A&#10;AAAAAAAAAQAgAAAAJg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Cs w:val="21"/>
              </w:rPr>
              <w:t xml:space="preserve">          费率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中标价</w:t>
            </w:r>
          </w:p>
        </w:tc>
        <w:tc>
          <w:tcPr>
            <w:tcW w:w="1842" w:type="dxa"/>
            <w:vAlign w:val="center"/>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货物招标</w:t>
            </w:r>
          </w:p>
        </w:tc>
        <w:tc>
          <w:tcPr>
            <w:tcW w:w="184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服务招标</w:t>
            </w:r>
          </w:p>
        </w:tc>
        <w:tc>
          <w:tcPr>
            <w:tcW w:w="17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100万元以下</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100～500万元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0.8%</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500～1000万元</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0.8%</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0.45%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1000～5000万元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5000万元～1亿元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0.1%</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1～5亿元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84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796"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5～10亿元</w:t>
            </w:r>
          </w:p>
        </w:tc>
        <w:tc>
          <w:tcPr>
            <w:tcW w:w="1842"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84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10～50亿元</w:t>
            </w:r>
          </w:p>
        </w:tc>
        <w:tc>
          <w:tcPr>
            <w:tcW w:w="1842"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50～100亿元</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100亿以上</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r>
    </w:tbl>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szCs w:val="21"/>
        </w:rPr>
        <w:t>26.5、中标通知书</w:t>
      </w:r>
      <w:bookmarkEnd w:id="67"/>
      <w:bookmarkEnd w:id="68"/>
      <w:bookmarkEnd w:id="69"/>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采购人在评审报告推荐的中标候选人中按顺序确定中标人。采购人将向中标人发出中标通知书，同时在安徽泰杰工程咨询有限公司</w:t>
      </w:r>
      <w:r>
        <w:rPr>
          <w:rFonts w:hint="eastAsia" w:ascii="宋体" w:hAnsi="宋体"/>
          <w:szCs w:val="21"/>
        </w:rPr>
        <w:t>（http://www.ahtaijie.com/）</w:t>
      </w:r>
      <w:r>
        <w:rPr>
          <w:rFonts w:hint="eastAsia" w:asciiTheme="minorEastAsia" w:hAnsiTheme="minorEastAsia" w:eastAsiaTheme="minorEastAsia" w:cstheme="minorEastAsia"/>
          <w:szCs w:val="21"/>
        </w:rPr>
        <w:t>上公告中标结果。投标人如有质疑、投诉，必须在中标公告规定的质疑、投诉期内向有关机构提出。</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26.6、采购人在收到评标报告5个工作日内未按评标报告推荐的中标候选人顺序确定中标人，又不能说明合法理由的，视同按评标报告推荐的顺序确定排名第一的中标候选人为中标人。</w:t>
      </w:r>
    </w:p>
    <w:p>
      <w:pPr>
        <w:widowControl/>
        <w:spacing w:line="500" w:lineRule="exact"/>
        <w:jc w:val="left"/>
        <w:rPr>
          <w:rFonts w:asciiTheme="minorEastAsia" w:hAnsiTheme="minorEastAsia" w:eastAsiaTheme="minorEastAsia" w:cstheme="minorEastAsia"/>
          <w:szCs w:val="21"/>
        </w:rPr>
      </w:pPr>
      <w:bookmarkStart w:id="70" w:name="_Toc418517857"/>
      <w:bookmarkStart w:id="71" w:name="_Toc2342"/>
      <w:bookmarkStart w:id="72" w:name="_Toc417655920"/>
      <w:r>
        <w:rPr>
          <w:rFonts w:hint="eastAsia" w:asciiTheme="minorEastAsia" w:hAnsiTheme="minorEastAsia" w:eastAsiaTheme="minorEastAsia" w:cstheme="minorEastAsia"/>
          <w:b/>
          <w:bCs/>
          <w:szCs w:val="20"/>
        </w:rPr>
        <w:t xml:space="preserve">   </w:t>
      </w:r>
      <w:r>
        <w:rPr>
          <w:rFonts w:hint="eastAsia" w:asciiTheme="minorEastAsia" w:hAnsiTheme="minorEastAsia" w:eastAsiaTheme="minorEastAsia" w:cstheme="minorEastAsia"/>
          <w:szCs w:val="21"/>
        </w:rPr>
        <w:t xml:space="preserve"> 26.</w:t>
      </w:r>
      <w:bookmarkEnd w:id="70"/>
      <w:bookmarkEnd w:id="71"/>
      <w:bookmarkEnd w:id="72"/>
      <w:r>
        <w:rPr>
          <w:rFonts w:hint="eastAsia" w:asciiTheme="minorEastAsia" w:hAnsiTheme="minorEastAsia" w:eastAsiaTheme="minorEastAsia" w:cstheme="minorEastAsia"/>
          <w:szCs w:val="21"/>
        </w:rPr>
        <w:t>7、根据相关规定，对中标或成交结果提出质疑的，为中标或成交结果公告期限届满之日起七个工作日内向采购人提出。建议在中标公告质疑期满（无异议）后，采购人与中标人签订采购合同。</w:t>
      </w:r>
    </w:p>
    <w:p>
      <w:pPr>
        <w:pStyle w:val="8"/>
        <w:rPr>
          <w:rFonts w:asciiTheme="minorEastAsia" w:hAnsiTheme="minorEastAsia" w:eastAsiaTheme="minorEastAsia" w:cstheme="minorEastAsia"/>
          <w:b w:val="0"/>
          <w:bCs/>
          <w:szCs w:val="21"/>
        </w:rPr>
      </w:pPr>
      <w:bookmarkStart w:id="73" w:name="_Toc23509"/>
      <w:r>
        <w:rPr>
          <w:rFonts w:hint="eastAsia" w:asciiTheme="minorEastAsia" w:hAnsiTheme="minorEastAsia" w:eastAsiaTheme="minorEastAsia" w:cstheme="minorEastAsia"/>
          <w:bCs/>
          <w:szCs w:val="21"/>
        </w:rPr>
        <w:t xml:space="preserve">    </w:t>
      </w:r>
      <w:bookmarkStart w:id="74" w:name="_Toc24974"/>
      <w:r>
        <w:rPr>
          <w:rFonts w:hint="eastAsia" w:asciiTheme="minorEastAsia" w:hAnsiTheme="minorEastAsia" w:eastAsiaTheme="minorEastAsia" w:cstheme="minorEastAsia"/>
          <w:bCs/>
          <w:szCs w:val="21"/>
        </w:rPr>
        <w:t>八、合同授予</w:t>
      </w:r>
      <w:bookmarkEnd w:id="73"/>
      <w:bookmarkEnd w:id="74"/>
    </w:p>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27、</w:t>
      </w:r>
      <w:bookmarkStart w:id="75" w:name="_Toc418517860"/>
      <w:bookmarkStart w:id="76" w:name="_Toc417655923"/>
      <w:bookmarkStart w:id="77" w:name="_Toc21358"/>
      <w:r>
        <w:rPr>
          <w:rFonts w:hint="eastAsia" w:asciiTheme="minorEastAsia" w:hAnsiTheme="minorEastAsia" w:eastAsiaTheme="minorEastAsia" w:cstheme="minorEastAsia"/>
          <w:b/>
          <w:szCs w:val="21"/>
        </w:rPr>
        <w:t>签订合同</w:t>
      </w:r>
      <w:bookmarkEnd w:id="75"/>
      <w:bookmarkEnd w:id="76"/>
      <w:bookmarkEnd w:id="77"/>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27.1、中标人的中标价即为合同价款。</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27.2、中标人在收到中标通知书起10个工作日天内，与采购人签订合同。</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27.3、</w:t>
      </w:r>
      <w:r>
        <w:rPr>
          <w:rFonts w:hint="eastAsia" w:ascii="宋体" w:hAnsi="宋体"/>
          <w:szCs w:val="21"/>
        </w:rPr>
        <w:t>中标人拒绝与采购人签订合同的，采购人重新组织采购或采用经批准的其他方式确定成交供应商。</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28、履约保证金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28.1、中标人在签订合同前必须按招标文件的约定，及时、足额向采购人提交履约保证金。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28.2、若中标人不能按投标人须知前附表执行，采购人可在无须征得中标人同意的情况下，不与其签订合同。给采购单位造成的损失，还应当予以赔偿。</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28.3、履约保证金按合同条款</w:t>
      </w:r>
      <w:r>
        <w:rPr>
          <w:rFonts w:hint="eastAsia" w:asciiTheme="minorEastAsia" w:hAnsiTheme="minorEastAsia" w:eastAsiaTheme="minorEastAsia" w:cstheme="minorEastAsia"/>
          <w:kern w:val="0"/>
          <w:szCs w:val="21"/>
        </w:rPr>
        <w:t>约定</w:t>
      </w:r>
      <w:r>
        <w:rPr>
          <w:rFonts w:hint="eastAsia" w:asciiTheme="minorEastAsia" w:hAnsiTheme="minorEastAsia" w:eastAsiaTheme="minorEastAsia" w:cstheme="minorEastAsia"/>
          <w:szCs w:val="21"/>
        </w:rPr>
        <w:t>退还。</w:t>
      </w:r>
    </w:p>
    <w:p>
      <w:pPr>
        <w:widowControl/>
        <w:spacing w:line="50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29、质疑的提出与接收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质疑供应商应当是参与所质疑项目采购活动的供应商。质疑供应商应按照财政部制定的《政府采购供应商质疑函范本》格式（详见招标文件第七章）和《政府采购质疑和投诉办法》的要求，在法定质疑期内以书面形式提出质疑，超出法定质疑期提交的质疑将被拒绝。针对同一采购程序环节的质疑应一次性提出。</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29.3采购代理机构质疑函接收部门、联系电话和通讯地址，见投标人须知前附表。</w:t>
      </w:r>
    </w:p>
    <w:p>
      <w:pPr>
        <w:widowControl/>
        <w:spacing w:line="500" w:lineRule="exact"/>
        <w:ind w:firstLine="42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30、未尽事宜</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按《中华人民共和国政府采购法》、《中华人民共和国政府采购法实施条例》及其他有关法律法规规定执行。</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5"/>
        <w:numPr>
          <w:ilvl w:val="0"/>
          <w:numId w:val="1"/>
        </w:numPr>
        <w:rPr>
          <w:rFonts w:asciiTheme="minorEastAsia" w:hAnsiTheme="minorEastAsia" w:eastAsiaTheme="minorEastAsia" w:cstheme="minorEastAsia"/>
        </w:rPr>
      </w:pPr>
      <w:bookmarkStart w:id="78" w:name="_Toc2478"/>
      <w:bookmarkStart w:id="79" w:name="_Toc8705"/>
      <w:r>
        <w:rPr>
          <w:rFonts w:hint="eastAsia" w:asciiTheme="minorEastAsia" w:hAnsiTheme="minorEastAsia" w:eastAsiaTheme="minorEastAsia" w:cstheme="minorEastAsia"/>
        </w:rPr>
        <w:t>评标方法和标准</w:t>
      </w:r>
      <w:bookmarkEnd w:id="78"/>
      <w:bookmarkEnd w:id="79"/>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评标方法：</w:t>
      </w:r>
      <w:r>
        <w:rPr>
          <w:rFonts w:hint="eastAsia" w:asciiTheme="minorEastAsia" w:hAnsiTheme="minorEastAsia" w:eastAsiaTheme="minorEastAsia" w:cstheme="minorEastAsia"/>
          <w:szCs w:val="21"/>
        </w:rPr>
        <w:t>综合评分法。</w:t>
      </w:r>
    </w:p>
    <w:p>
      <w:pPr>
        <w:widowControl/>
        <w:spacing w:line="360" w:lineRule="auto"/>
        <w:ind w:firstLine="422" w:firstLineChars="200"/>
        <w:jc w:val="left"/>
        <w:rPr>
          <w:rFonts w:ascii="宋体" w:hAnsi="宋体"/>
          <w:szCs w:val="21"/>
        </w:rPr>
      </w:pPr>
      <w:r>
        <w:rPr>
          <w:rFonts w:hint="eastAsia" w:asciiTheme="minorEastAsia" w:hAnsiTheme="minorEastAsia" w:eastAsiaTheme="minorEastAsia" w:cstheme="minorEastAsia"/>
          <w:b/>
          <w:bCs/>
          <w:color w:val="000000"/>
          <w:szCs w:val="21"/>
        </w:rPr>
        <w:t>1、澄清有关问题：</w:t>
      </w:r>
      <w:r>
        <w:rPr>
          <w:rFonts w:hint="eastAsia" w:ascii="宋体" w:hAnsi="宋体"/>
          <w:szCs w:val="21"/>
        </w:rPr>
        <w:t>在评审过程中,评标委员会可以通过纸质询标函对投标人进行询标。针对投标文件中含义不明确、对同类问题表述不一致或者有明显文字和计算错误的内容，评标委员会可要求投标人在30分钟内通过纸质询标函进行澄清、说明或者补正，并提供相关材料。澄清文件将作为投标文件内容的一部分。</w:t>
      </w:r>
    </w:p>
    <w:p>
      <w:pPr>
        <w:spacing w:line="360" w:lineRule="auto"/>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color w:val="000000"/>
          <w:szCs w:val="21"/>
        </w:rPr>
        <w:t>2、评标程序</w:t>
      </w:r>
      <w:r>
        <w:rPr>
          <w:rFonts w:hint="eastAsia" w:asciiTheme="minorEastAsia" w:hAnsiTheme="minorEastAsia" w:eastAsiaTheme="minorEastAsia" w:cstheme="minorEastAsia"/>
          <w:color w:val="000000"/>
          <w:szCs w:val="21"/>
        </w:rPr>
        <w:t>：</w:t>
      </w:r>
    </w:p>
    <w:p>
      <w:pPr>
        <w:spacing w:line="360" w:lineRule="auto"/>
        <w:ind w:firstLine="420"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评标包括投标文件资格审查、符合性审查报价评审、综合评分、失信核查和确定中标候选人排序。如有任一项未通过的则不进入下一项评审。按照评标程序、评分标准以及权重分配的规定，评委会各成员分别就各投标人的技术状况、商务状况及其对招标文件要求的响应情况进行评议和比较，并逐一独立评分，满分100分，投标人的最终得分为各评委评分的平均值。</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2.1、资格审查：经资格审查后，合格投标人不足3家的，不得评标。</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35"/>
        <w:gridCol w:w="2021"/>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46"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评审指标</w:t>
            </w:r>
          </w:p>
        </w:tc>
        <w:tc>
          <w:tcPr>
            <w:tcW w:w="104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评审标准</w:t>
            </w:r>
          </w:p>
        </w:tc>
        <w:tc>
          <w:tcPr>
            <w:tcW w:w="2735"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restart"/>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有效的投标人营业执照（或事业单位法人登记证书）和税务登记证的复印件并加盖供应商公章，应完整的体现出营业执照（或事业单位法人登记证书）和税务登记证的全部内容。已办理“三证合一”登记的，投标文件中提供营业执照（或事业单位法人登记证书复印件并加盖供应商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税务登记证</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continue"/>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履行合同所必需的设备专业技术能力证明文件</w:t>
            </w:r>
          </w:p>
        </w:tc>
        <w:tc>
          <w:tcPr>
            <w:tcW w:w="1046" w:type="pct"/>
            <w:tcBorders>
              <w:bottom w:val="single" w:color="auto" w:sz="4" w:space="0"/>
            </w:tcBorders>
            <w:vAlign w:val="center"/>
          </w:tcPr>
          <w:p>
            <w:pPr>
              <w:spacing w:after="50" w:line="360" w:lineRule="auto"/>
              <w:ind w:right="-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按照招标文件格式要求提供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无重大违法记录声明函、无不良信用记录声明函</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招标文件相关格式要求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中小企业声明函</w:t>
            </w:r>
          </w:p>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（专门面向中小企业采购项目适用）</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符合投标人资格中落实政府采购政策需满足的资格要求</w:t>
            </w:r>
          </w:p>
        </w:tc>
        <w:tc>
          <w:tcPr>
            <w:tcW w:w="2735" w:type="pct"/>
            <w:tcBorders>
              <w:bottom w:val="single" w:color="auto" w:sz="4" w:space="0"/>
            </w:tcBorders>
            <w:vAlign w:val="center"/>
          </w:tcPr>
          <w:p>
            <w:pPr>
              <w:spacing w:line="500" w:lineRule="exact"/>
              <w:ind w:left="1050" w:leftChars="20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投标人资质</w:t>
            </w:r>
          </w:p>
        </w:tc>
        <w:tc>
          <w:tcPr>
            <w:tcW w:w="10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符合投标人资格中的资质要求</w:t>
            </w:r>
          </w:p>
        </w:tc>
        <w:tc>
          <w:tcPr>
            <w:tcW w:w="2735" w:type="pct"/>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同招标公告</w:t>
            </w:r>
          </w:p>
        </w:tc>
      </w:tr>
    </w:tbl>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2.2符合性审查：</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2.2.1评委会成员依据招标文件的要求，对所有投标人提交的投标文件进行符合性审查。如果投标文件不满足符合性审查表中其中任何一项要求，评委会可认为该投标文件不符合招标文件的要求而不能通过符合性审查，评委会可拒绝对其作进一步的评审。</w:t>
      </w:r>
    </w:p>
    <w:tbl>
      <w:tblPr>
        <w:tblStyle w:val="27"/>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003"/>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3"/>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0"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11"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评审指标</w:t>
            </w:r>
          </w:p>
        </w:tc>
        <w:tc>
          <w:tcPr>
            <w:tcW w:w="3608"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法定代表人身份证书或授权委托书</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符合招标文件投标人须知要求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联合体协议（如有）</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符合法律、行政法规规定的其他条件或招标文件列明的其他要求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adjustRightInd w:val="0"/>
              <w:snapToGrid w:val="0"/>
              <w:spacing w:line="360" w:lineRule="auto"/>
              <w:ind w:right="-1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Cs w:val="21"/>
              </w:rPr>
              <w:t>评审指标通过标准：投标人必须通过上述全部指标。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szCs w:val="21"/>
              </w:rPr>
              <w:t xml:space="preserve">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w:t>
            </w:r>
            <w:r>
              <w:rPr>
                <w:rFonts w:hint="eastAsia" w:asciiTheme="minorEastAsia" w:hAnsiTheme="minorEastAsia" w:eastAsiaTheme="minorEastAsia" w:cstheme="minorEastAsia"/>
                <w:szCs w:val="21"/>
              </w:rPr>
              <w:t>招标文件所有要求提供复印件的，均须加盖投标人公章。</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w:t>
            </w:r>
            <w:r>
              <w:rPr>
                <w:rFonts w:hint="eastAsia" w:asciiTheme="minorEastAsia" w:hAnsiTheme="minorEastAsia" w:eastAsiaTheme="minorEastAsia" w:cstheme="minorEastAsia"/>
                <w:szCs w:val="21"/>
              </w:rPr>
              <w:t>若在投标文件中未提供相应复印件，视为投标无效。</w:t>
            </w:r>
          </w:p>
          <w:p>
            <w:pPr>
              <w:spacing w:line="360" w:lineRule="auto"/>
              <w:jc w:val="lef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rPr>
              <w:t xml:space="preserve">    3、</w:t>
            </w:r>
            <w:r>
              <w:rPr>
                <w:rFonts w:hint="eastAsia" w:asciiTheme="minorEastAsia" w:hAnsiTheme="minorEastAsia" w:eastAsiaTheme="minorEastAsia" w:cstheme="minorEastAsia"/>
                <w:szCs w:val="21"/>
              </w:rPr>
              <w:t>投标人须对提供资料、发票等证明材料的真实性负责，若所提供的资料为虚假的，按相关规定处理。</w:t>
            </w:r>
          </w:p>
        </w:tc>
      </w:tr>
    </w:tbl>
    <w:p>
      <w:pPr>
        <w:spacing w:line="360" w:lineRule="auto"/>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szCs w:val="21"/>
        </w:rPr>
        <w:t>2.3</w:t>
      </w:r>
      <w:r>
        <w:rPr>
          <w:rFonts w:hint="eastAsia" w:asciiTheme="minorEastAsia" w:hAnsiTheme="minorEastAsia" w:eastAsiaTheme="minorEastAsia" w:cstheme="minorEastAsia"/>
          <w:b/>
          <w:bCs/>
          <w:color w:val="000000"/>
          <w:szCs w:val="21"/>
        </w:rPr>
        <w:t>报价评审：</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2.3.1投标费率不得超过最高投标费率，否则报价评审不通过。</w:t>
      </w:r>
    </w:p>
    <w:p>
      <w:pPr>
        <w:widowControl/>
        <w:spacing w:line="360" w:lineRule="auto"/>
        <w:ind w:firstLine="405"/>
        <w:jc w:val="left"/>
        <w:rPr>
          <w:rFonts w:ascii="宋体" w:hAnsi="宋体"/>
          <w:szCs w:val="21"/>
        </w:rPr>
      </w:pPr>
      <w:r>
        <w:rPr>
          <w:rFonts w:hint="eastAsia" w:ascii="宋体" w:hAnsi="宋体"/>
          <w:szCs w:val="21"/>
        </w:rPr>
        <w:t>评标委员会认为投标人的报价费率明显低于其他通过符合性审查投标人的报价费率，有可能影响商品质量或者不能诚信履约的，评标委员会可以通过纸质询标函对投标人进行询标，要求投标人在30分钟内通过纸质询标函进行回复，必要时可提交相关证明材料；投标人不能证明其报价费率合理性的，评标委员会应当将其作为无效投标处理。</w:t>
      </w:r>
    </w:p>
    <w:p>
      <w:pPr>
        <w:widowControl/>
        <w:spacing w:line="360" w:lineRule="auto"/>
        <w:ind w:firstLine="405"/>
        <w:jc w:val="left"/>
        <w:rPr>
          <w:rFonts w:ascii="宋体" w:hAnsi="宋体"/>
          <w:b/>
          <w:bCs/>
          <w:szCs w:val="21"/>
        </w:rPr>
      </w:pPr>
      <w:r>
        <w:rPr>
          <w:rFonts w:hint="eastAsia" w:ascii="宋体" w:hAnsi="宋体"/>
          <w:b/>
          <w:bCs/>
          <w:szCs w:val="21"/>
        </w:rPr>
        <w:t>若服务报价表投标费率与投标函投标费率不一致的，服务报价表中各项投标费率不一致的，投标人所报费率×最高限价（单价）后的价格和投标人服务报价表中所填的供货价格不一致的视为无效报价。</w:t>
      </w:r>
    </w:p>
    <w:p>
      <w:pPr>
        <w:spacing w:line="388"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根据《政府采购促进中小企业发展暂行办法》（财库[2011]181号）、《安徽省财政厅 安徽省经济和信息化委员会转发〈财政部工业和信息化部关于印发政府采购促进中小企业发展暂行办法〉的通知》（财购〔2012〕142 号）和《三部门联合发布关于促进残疾人就业政府采购政策的通知》（财库〔2017〕141号）的规定，对满足价格扣除条件且在投标文件中提交了《中小企业声明函》、《残疾人福利性单位声明函》的投标人，其投标报价按照投标人须知前附表中规定的标准扣除后参与评审。对于同时属于小微企业、残疾人福利性单位的，不重复进行投标报价扣除。 </w:t>
      </w:r>
    </w:p>
    <w:p>
      <w:pPr>
        <w:spacing w:line="383" w:lineRule="auto"/>
        <w:ind w:left="11" w:right="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联合协议中约定，小型、微型企业的协议合同金额占到联合体协议合同总金额30%以上的，可给予联合体投标报价按照投标人须知前附表中规定的标准扣除后参与评审。 </w:t>
      </w:r>
    </w:p>
    <w:p>
      <w:pPr>
        <w:spacing w:line="383"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联合体各方均为小型、微型企业的，联合体视同为小型、微型企业。 </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2.4、综合评分：</w:t>
      </w:r>
    </w:p>
    <w:p>
      <w:pPr>
        <w:spacing w:line="480" w:lineRule="exact"/>
        <w:ind w:firstLine="420" w:firstLineChars="200"/>
        <w:rPr>
          <w:rFonts w:asciiTheme="minorEastAsia" w:hAnsiTheme="minorEastAsia" w:eastAsiaTheme="minorEastAsia" w:cstheme="minorEastAsia"/>
          <w:snapToGrid w:val="0"/>
          <w:color w:val="000000"/>
          <w:kern w:val="0"/>
          <w:szCs w:val="21"/>
        </w:rPr>
      </w:pPr>
      <w:r>
        <w:rPr>
          <w:rFonts w:hint="eastAsia" w:asciiTheme="minorEastAsia" w:hAnsiTheme="minorEastAsia" w:eastAsiaTheme="minorEastAsia" w:cstheme="minorEastAsia"/>
          <w:bCs/>
          <w:color w:val="000000"/>
          <w:szCs w:val="21"/>
        </w:rPr>
        <w:t>各评委成员按下列评分项目进行评判，</w:t>
      </w:r>
      <w:r>
        <w:rPr>
          <w:rFonts w:hint="eastAsia" w:asciiTheme="minorEastAsia" w:hAnsiTheme="minorEastAsia" w:eastAsiaTheme="minorEastAsia" w:cstheme="minorEastAsia"/>
          <w:snapToGrid w:val="0"/>
          <w:color w:val="000000"/>
          <w:kern w:val="0"/>
          <w:szCs w:val="21"/>
        </w:rPr>
        <w:t>评标委员会各成员应当独立对每个有效投标人的投标情况进行评价、打分，然后汇总每个投标人每项评分因素的得分。各投标人的最终得分为所有评委评分的平均值（平均值计算精确至小数点后二位，小数点后第三位四舍五入）。</w:t>
      </w:r>
    </w:p>
    <w:tbl>
      <w:tblPr>
        <w:tblStyle w:val="27"/>
        <w:tblW w:w="10086" w:type="dxa"/>
        <w:jc w:val="center"/>
        <w:tblLayout w:type="fixed"/>
        <w:tblCellMar>
          <w:top w:w="0" w:type="dxa"/>
          <w:left w:w="0" w:type="dxa"/>
          <w:bottom w:w="0" w:type="dxa"/>
          <w:right w:w="0" w:type="dxa"/>
        </w:tblCellMar>
      </w:tblPr>
      <w:tblGrid>
        <w:gridCol w:w="1995"/>
        <w:gridCol w:w="1586"/>
        <w:gridCol w:w="4226"/>
        <w:gridCol w:w="2279"/>
      </w:tblGrid>
      <w:tr>
        <w:tblPrEx>
          <w:tblCellMar>
            <w:top w:w="0" w:type="dxa"/>
            <w:left w:w="0" w:type="dxa"/>
            <w:bottom w:w="0" w:type="dxa"/>
            <w:right w:w="0" w:type="dxa"/>
          </w:tblCellMar>
        </w:tblPrEx>
        <w:trPr>
          <w:trHeight w:val="580" w:hRule="atLeast"/>
          <w:jc w:val="center"/>
        </w:trPr>
        <w:tc>
          <w:tcPr>
            <w:tcW w:w="1995" w:type="dxa"/>
            <w:tcBorders>
              <w:top w:val="single" w:color="000000" w:sz="4" w:space="0"/>
              <w:left w:val="single" w:color="000000" w:sz="4" w:space="0"/>
              <w:bottom w:val="single" w:color="auto" w:sz="4" w:space="0"/>
              <w:right w:val="single" w:color="000000" w:sz="4" w:space="0"/>
            </w:tcBorders>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评审项目</w:t>
            </w:r>
          </w:p>
        </w:tc>
        <w:tc>
          <w:tcPr>
            <w:tcW w:w="158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分值</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评分细则</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需提供的证明资料</w:t>
            </w:r>
          </w:p>
        </w:tc>
      </w:tr>
      <w:tr>
        <w:tblPrEx>
          <w:tblCellMar>
            <w:top w:w="0" w:type="dxa"/>
            <w:left w:w="0" w:type="dxa"/>
            <w:bottom w:w="0" w:type="dxa"/>
            <w:right w:w="0" w:type="dxa"/>
          </w:tblCellMar>
        </w:tblPrEx>
        <w:trPr>
          <w:trHeight w:val="2088" w:hRule="atLeast"/>
          <w:jc w:val="center"/>
        </w:trPr>
        <w:tc>
          <w:tcPr>
            <w:tcW w:w="1995"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质量体系（</w:t>
            </w:r>
            <w:r>
              <w:rPr>
                <w:szCs w:val="21"/>
              </w:rPr>
              <w:t>25</w:t>
            </w:r>
            <w:r>
              <w:rPr>
                <w:rFonts w:hint="eastAsia"/>
                <w:szCs w:val="21"/>
              </w:rPr>
              <w:t>分）</w:t>
            </w:r>
          </w:p>
        </w:tc>
        <w:tc>
          <w:tcPr>
            <w:tcW w:w="1586" w:type="dxa"/>
            <w:vMerge w:val="restart"/>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质量体系（</w:t>
            </w:r>
            <w:r>
              <w:rPr>
                <w:szCs w:val="21"/>
              </w:rPr>
              <w:t>20</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参加国家卫健委临床检验中心的室间质评证书数量：</w:t>
            </w:r>
          </w:p>
          <w:p>
            <w:pPr>
              <w:widowControl/>
              <w:jc w:val="left"/>
              <w:textAlignment w:val="center"/>
              <w:rPr>
                <w:szCs w:val="21"/>
              </w:rPr>
            </w:pPr>
            <w:r>
              <w:rPr>
                <w:rFonts w:hint="eastAsia"/>
                <w:szCs w:val="21"/>
              </w:rPr>
              <w:t>数量通过者达</w:t>
            </w:r>
            <w:r>
              <w:rPr>
                <w:szCs w:val="21"/>
              </w:rPr>
              <w:t>80</w:t>
            </w:r>
            <w:r>
              <w:rPr>
                <w:rFonts w:hint="eastAsia"/>
                <w:szCs w:val="21"/>
              </w:rPr>
              <w:t>项以上的得</w:t>
            </w:r>
            <w:r>
              <w:rPr>
                <w:szCs w:val="21"/>
              </w:rPr>
              <w:t>10</w:t>
            </w:r>
            <w:r>
              <w:rPr>
                <w:rFonts w:hint="eastAsia"/>
                <w:szCs w:val="21"/>
              </w:rPr>
              <w:t>分；</w:t>
            </w:r>
          </w:p>
          <w:p>
            <w:pPr>
              <w:widowControl/>
              <w:jc w:val="left"/>
              <w:textAlignment w:val="center"/>
              <w:rPr>
                <w:szCs w:val="21"/>
              </w:rPr>
            </w:pPr>
            <w:r>
              <w:rPr>
                <w:szCs w:val="21"/>
              </w:rPr>
              <w:t>2</w:t>
            </w:r>
            <w:r>
              <w:rPr>
                <w:rFonts w:hint="eastAsia"/>
                <w:szCs w:val="21"/>
              </w:rPr>
              <w:t>、数量通过者在</w:t>
            </w:r>
            <w:r>
              <w:rPr>
                <w:szCs w:val="21"/>
              </w:rPr>
              <w:t>60</w:t>
            </w:r>
            <w:r>
              <w:rPr>
                <w:rFonts w:hint="eastAsia"/>
                <w:szCs w:val="21"/>
              </w:rPr>
              <w:t>项（不含</w:t>
            </w:r>
            <w:r>
              <w:rPr>
                <w:szCs w:val="21"/>
              </w:rPr>
              <w:t>60</w:t>
            </w:r>
            <w:r>
              <w:rPr>
                <w:rFonts w:hint="eastAsia"/>
                <w:szCs w:val="21"/>
              </w:rPr>
              <w:t>项）至</w:t>
            </w:r>
            <w:r>
              <w:rPr>
                <w:szCs w:val="21"/>
              </w:rPr>
              <w:t>80</w:t>
            </w:r>
            <w:r>
              <w:rPr>
                <w:rFonts w:hint="eastAsia"/>
                <w:szCs w:val="21"/>
              </w:rPr>
              <w:t>份（含</w:t>
            </w:r>
            <w:r>
              <w:rPr>
                <w:szCs w:val="21"/>
              </w:rPr>
              <w:t>80</w:t>
            </w:r>
            <w:r>
              <w:rPr>
                <w:rFonts w:hint="eastAsia"/>
                <w:szCs w:val="21"/>
              </w:rPr>
              <w:t>项）的得</w:t>
            </w:r>
            <w:r>
              <w:rPr>
                <w:szCs w:val="21"/>
              </w:rPr>
              <w:t>8</w:t>
            </w:r>
            <w:r>
              <w:rPr>
                <w:rFonts w:hint="eastAsia"/>
                <w:szCs w:val="21"/>
              </w:rPr>
              <w:t>分；</w:t>
            </w:r>
          </w:p>
          <w:p>
            <w:pPr>
              <w:widowControl/>
              <w:jc w:val="left"/>
              <w:textAlignment w:val="center"/>
              <w:rPr>
                <w:szCs w:val="21"/>
              </w:rPr>
            </w:pPr>
            <w:r>
              <w:rPr>
                <w:szCs w:val="21"/>
              </w:rPr>
              <w:t>3</w:t>
            </w:r>
            <w:r>
              <w:rPr>
                <w:rFonts w:hint="eastAsia"/>
                <w:szCs w:val="21"/>
              </w:rPr>
              <w:t>、数量通过者在</w:t>
            </w:r>
            <w:r>
              <w:rPr>
                <w:szCs w:val="21"/>
              </w:rPr>
              <w:t>40</w:t>
            </w:r>
            <w:r>
              <w:rPr>
                <w:rFonts w:hint="eastAsia"/>
                <w:szCs w:val="21"/>
              </w:rPr>
              <w:t>项（不含</w:t>
            </w:r>
            <w:r>
              <w:rPr>
                <w:szCs w:val="21"/>
              </w:rPr>
              <w:t>40</w:t>
            </w:r>
            <w:r>
              <w:rPr>
                <w:rFonts w:hint="eastAsia"/>
                <w:szCs w:val="21"/>
              </w:rPr>
              <w:t>项）至</w:t>
            </w:r>
            <w:r>
              <w:rPr>
                <w:szCs w:val="21"/>
              </w:rPr>
              <w:t>60</w:t>
            </w:r>
            <w:r>
              <w:rPr>
                <w:rFonts w:hint="eastAsia"/>
                <w:szCs w:val="21"/>
              </w:rPr>
              <w:t>项（含</w:t>
            </w:r>
            <w:r>
              <w:rPr>
                <w:szCs w:val="21"/>
              </w:rPr>
              <w:t>60</w:t>
            </w:r>
            <w:r>
              <w:rPr>
                <w:rFonts w:hint="eastAsia"/>
                <w:szCs w:val="21"/>
              </w:rPr>
              <w:t>项）得</w:t>
            </w:r>
            <w:r>
              <w:rPr>
                <w:szCs w:val="21"/>
              </w:rPr>
              <w:t>5</w:t>
            </w:r>
            <w:r>
              <w:rPr>
                <w:rFonts w:hint="eastAsia"/>
                <w:szCs w:val="21"/>
              </w:rPr>
              <w:t>分；</w:t>
            </w:r>
          </w:p>
          <w:p>
            <w:pPr>
              <w:widowControl/>
              <w:jc w:val="left"/>
              <w:textAlignment w:val="center"/>
              <w:rPr>
                <w:rFonts w:ascii="Calibri" w:hAnsi="Calibri"/>
                <w:szCs w:val="21"/>
              </w:rPr>
            </w:pPr>
            <w:r>
              <w:rPr>
                <w:szCs w:val="21"/>
              </w:rPr>
              <w:t>4</w:t>
            </w:r>
            <w:r>
              <w:rPr>
                <w:rFonts w:hint="eastAsia"/>
                <w:szCs w:val="21"/>
              </w:rPr>
              <w:t>、低于或等于</w:t>
            </w:r>
            <w:r>
              <w:rPr>
                <w:szCs w:val="21"/>
              </w:rPr>
              <w:t>40</w:t>
            </w:r>
            <w:r>
              <w:rPr>
                <w:rFonts w:hint="eastAsia"/>
                <w:szCs w:val="21"/>
              </w:rPr>
              <w:t>项证书的不得分。</w:t>
            </w:r>
          </w:p>
        </w:tc>
        <w:tc>
          <w:tcPr>
            <w:tcW w:w="2279"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p>
          <w:p>
            <w:pPr>
              <w:widowControl/>
              <w:jc w:val="left"/>
              <w:textAlignment w:val="center"/>
              <w:rPr>
                <w:rFonts w:ascii="Calibri" w:hAnsi="Calibri"/>
                <w:szCs w:val="21"/>
              </w:rPr>
            </w:pPr>
            <w:r>
              <w:rPr>
                <w:rFonts w:hint="eastAsia"/>
                <w:szCs w:val="21"/>
              </w:rPr>
              <w:t>评审核验标书中提供的相关证书影印件：</w:t>
            </w:r>
          </w:p>
          <w:p>
            <w:pPr>
              <w:widowControl/>
              <w:jc w:val="left"/>
              <w:textAlignment w:val="center"/>
              <w:rPr>
                <w:rFonts w:ascii="Calibri" w:hAnsi="Calibri"/>
                <w:szCs w:val="21"/>
              </w:rPr>
            </w:pPr>
            <w:r>
              <w:rPr>
                <w:rFonts w:hint="eastAsia" w:ascii="Calibri" w:hAnsi="Calibri"/>
                <w:szCs w:val="21"/>
              </w:rPr>
              <w:t>提供国家卫健委临床检验中心和省临床检验中心颁发的有效的室间质评合格证书（2021年度或2022年度),如省临床检验中心2021年度或2022年度证书未发，可以提供2020年度的证书。</w:t>
            </w:r>
            <w:r>
              <w:rPr>
                <w:rFonts w:hint="eastAsia" w:cs="宋体" w:asciiTheme="minorEastAsia" w:hAnsiTheme="minorEastAsia" w:eastAsiaTheme="minorEastAsia"/>
                <w:b/>
                <w:kern w:val="0"/>
                <w:szCs w:val="21"/>
              </w:rPr>
              <w:t>（本小项最高得20分，投标文件中必须附相关证明材料图片影印件。未按要求提供的，本项不得分）</w:t>
            </w:r>
          </w:p>
        </w:tc>
      </w:tr>
      <w:tr>
        <w:tblPrEx>
          <w:tblCellMar>
            <w:top w:w="0" w:type="dxa"/>
            <w:left w:w="0" w:type="dxa"/>
            <w:bottom w:w="0" w:type="dxa"/>
            <w:right w:w="0" w:type="dxa"/>
          </w:tblCellMar>
        </w:tblPrEx>
        <w:trPr>
          <w:trHeight w:val="2580" w:hRule="atLeast"/>
          <w:jc w:val="center"/>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1"/>
              </w:rPr>
            </w:pPr>
          </w:p>
        </w:tc>
        <w:tc>
          <w:tcPr>
            <w:tcW w:w="158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Calibri" w:hAnsi="Calibri"/>
                <w:szCs w:val="21"/>
              </w:rPr>
            </w:pP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r>
              <w:rPr>
                <w:rFonts w:hint="eastAsia"/>
                <w:szCs w:val="21"/>
              </w:rPr>
              <w:t>参加省卫健委临床检验中心的室间质评证书包含专业数量</w:t>
            </w:r>
            <w:r>
              <w:rPr>
                <w:szCs w:val="21"/>
              </w:rPr>
              <w:t>:</w:t>
            </w:r>
          </w:p>
          <w:p>
            <w:pPr>
              <w:widowControl/>
              <w:jc w:val="left"/>
              <w:textAlignment w:val="center"/>
              <w:rPr>
                <w:szCs w:val="21"/>
              </w:rPr>
            </w:pPr>
            <w:r>
              <w:rPr>
                <w:szCs w:val="21"/>
              </w:rPr>
              <w:t>1</w:t>
            </w:r>
            <w:r>
              <w:rPr>
                <w:rFonts w:hint="eastAsia"/>
                <w:szCs w:val="21"/>
              </w:rPr>
              <w:t>、专业数量通过者达</w:t>
            </w:r>
            <w:r>
              <w:rPr>
                <w:szCs w:val="21"/>
              </w:rPr>
              <w:t>50</w:t>
            </w:r>
            <w:r>
              <w:rPr>
                <w:rFonts w:hint="eastAsia"/>
                <w:szCs w:val="21"/>
              </w:rPr>
              <w:t>项及以上的得</w:t>
            </w:r>
            <w:r>
              <w:rPr>
                <w:szCs w:val="21"/>
              </w:rPr>
              <w:t>10</w:t>
            </w:r>
            <w:r>
              <w:rPr>
                <w:rFonts w:hint="eastAsia"/>
                <w:szCs w:val="21"/>
              </w:rPr>
              <w:t>分；</w:t>
            </w:r>
          </w:p>
          <w:p>
            <w:pPr>
              <w:widowControl/>
              <w:jc w:val="left"/>
              <w:textAlignment w:val="center"/>
              <w:rPr>
                <w:szCs w:val="21"/>
              </w:rPr>
            </w:pPr>
            <w:r>
              <w:rPr>
                <w:szCs w:val="21"/>
              </w:rPr>
              <w:t>2</w:t>
            </w:r>
            <w:r>
              <w:rPr>
                <w:rFonts w:hint="eastAsia"/>
                <w:szCs w:val="21"/>
              </w:rPr>
              <w:t>、数量通过者在</w:t>
            </w:r>
            <w:r>
              <w:rPr>
                <w:szCs w:val="21"/>
              </w:rPr>
              <w:t>40</w:t>
            </w:r>
            <w:r>
              <w:rPr>
                <w:rFonts w:hint="eastAsia"/>
                <w:szCs w:val="21"/>
              </w:rPr>
              <w:t>项（不含</w:t>
            </w:r>
            <w:r>
              <w:rPr>
                <w:szCs w:val="21"/>
              </w:rPr>
              <w:t>40</w:t>
            </w:r>
            <w:r>
              <w:rPr>
                <w:rFonts w:hint="eastAsia"/>
                <w:szCs w:val="21"/>
              </w:rPr>
              <w:t>项）至</w:t>
            </w:r>
            <w:r>
              <w:rPr>
                <w:szCs w:val="21"/>
              </w:rPr>
              <w:t>50</w:t>
            </w:r>
            <w:r>
              <w:rPr>
                <w:rFonts w:hint="eastAsia"/>
                <w:szCs w:val="21"/>
              </w:rPr>
              <w:t>项（含</w:t>
            </w:r>
            <w:r>
              <w:rPr>
                <w:szCs w:val="21"/>
              </w:rPr>
              <w:t>50</w:t>
            </w:r>
            <w:r>
              <w:rPr>
                <w:rFonts w:hint="eastAsia"/>
                <w:szCs w:val="21"/>
              </w:rPr>
              <w:t>项）的得</w:t>
            </w:r>
            <w:r>
              <w:rPr>
                <w:szCs w:val="21"/>
              </w:rPr>
              <w:t>8</w:t>
            </w:r>
            <w:r>
              <w:rPr>
                <w:rFonts w:hint="eastAsia"/>
                <w:szCs w:val="21"/>
              </w:rPr>
              <w:t>分；</w:t>
            </w:r>
          </w:p>
          <w:p>
            <w:pPr>
              <w:widowControl/>
              <w:jc w:val="left"/>
              <w:textAlignment w:val="center"/>
              <w:rPr>
                <w:szCs w:val="21"/>
              </w:rPr>
            </w:pPr>
            <w:r>
              <w:rPr>
                <w:szCs w:val="21"/>
              </w:rPr>
              <w:t>3</w:t>
            </w:r>
            <w:r>
              <w:rPr>
                <w:rFonts w:hint="eastAsia"/>
                <w:szCs w:val="21"/>
              </w:rPr>
              <w:t>、数量通过者在</w:t>
            </w:r>
            <w:r>
              <w:rPr>
                <w:szCs w:val="21"/>
              </w:rPr>
              <w:t>30</w:t>
            </w:r>
            <w:r>
              <w:rPr>
                <w:rFonts w:hint="eastAsia"/>
                <w:szCs w:val="21"/>
              </w:rPr>
              <w:t>项（不含</w:t>
            </w:r>
            <w:r>
              <w:rPr>
                <w:szCs w:val="21"/>
              </w:rPr>
              <w:t>30</w:t>
            </w:r>
            <w:r>
              <w:rPr>
                <w:rFonts w:hint="eastAsia"/>
                <w:szCs w:val="21"/>
              </w:rPr>
              <w:t>项）至</w:t>
            </w:r>
            <w:r>
              <w:rPr>
                <w:szCs w:val="21"/>
              </w:rPr>
              <w:t>40</w:t>
            </w:r>
            <w:r>
              <w:rPr>
                <w:rFonts w:hint="eastAsia"/>
                <w:szCs w:val="21"/>
              </w:rPr>
              <w:t>项（含</w:t>
            </w:r>
            <w:r>
              <w:rPr>
                <w:szCs w:val="21"/>
              </w:rPr>
              <w:t>40</w:t>
            </w:r>
            <w:r>
              <w:rPr>
                <w:rFonts w:hint="eastAsia"/>
                <w:szCs w:val="21"/>
              </w:rPr>
              <w:t>项）得</w:t>
            </w:r>
            <w:r>
              <w:rPr>
                <w:szCs w:val="21"/>
              </w:rPr>
              <w:t>5</w:t>
            </w:r>
            <w:r>
              <w:rPr>
                <w:rFonts w:hint="eastAsia"/>
                <w:szCs w:val="21"/>
              </w:rPr>
              <w:t>分</w:t>
            </w:r>
          </w:p>
          <w:p>
            <w:pPr>
              <w:widowControl/>
              <w:jc w:val="left"/>
              <w:textAlignment w:val="center"/>
              <w:rPr>
                <w:rFonts w:ascii="Calibri" w:hAnsi="Calibri"/>
                <w:szCs w:val="21"/>
              </w:rPr>
            </w:pPr>
            <w:r>
              <w:rPr>
                <w:szCs w:val="21"/>
              </w:rPr>
              <w:t>4</w:t>
            </w:r>
            <w:r>
              <w:rPr>
                <w:rFonts w:hint="eastAsia"/>
                <w:szCs w:val="21"/>
              </w:rPr>
              <w:t>、低于</w:t>
            </w:r>
            <w:r>
              <w:rPr>
                <w:szCs w:val="21"/>
              </w:rPr>
              <w:t>30</w:t>
            </w:r>
            <w:r>
              <w:rPr>
                <w:rFonts w:hint="eastAsia"/>
                <w:szCs w:val="21"/>
              </w:rPr>
              <w:t>项或未提供的不得分。</w:t>
            </w:r>
          </w:p>
        </w:tc>
        <w:tc>
          <w:tcPr>
            <w:tcW w:w="22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szCs w:val="21"/>
              </w:rPr>
            </w:pPr>
          </w:p>
        </w:tc>
      </w:tr>
      <w:tr>
        <w:tblPrEx>
          <w:tblCellMar>
            <w:top w:w="0" w:type="dxa"/>
            <w:left w:w="0" w:type="dxa"/>
            <w:bottom w:w="0" w:type="dxa"/>
            <w:right w:w="0" w:type="dxa"/>
          </w:tblCellMar>
        </w:tblPrEx>
        <w:trPr>
          <w:trHeight w:val="679" w:hRule="atLeast"/>
          <w:jc w:val="center"/>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lang w:eastAsia="en-US"/>
              </w:rPr>
            </w:pPr>
            <w:r>
              <w:rPr>
                <w:rFonts w:hint="eastAsia"/>
                <w:szCs w:val="21"/>
              </w:rPr>
              <w:t>质量方案（</w:t>
            </w:r>
            <w:r>
              <w:rPr>
                <w:szCs w:val="21"/>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根据投标人制定的质量保证措施进行综合评审。投标人制定质量保证措施中检测质量指标清晰，对检验质量问题有明确的处理和预防措施。</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根据投标人提供质量保证措施方案，优得</w:t>
            </w:r>
            <w:r>
              <w:rPr>
                <w:szCs w:val="21"/>
              </w:rPr>
              <w:t>5-4</w:t>
            </w:r>
            <w:r>
              <w:rPr>
                <w:rFonts w:hint="eastAsia"/>
                <w:szCs w:val="21"/>
              </w:rPr>
              <w:t>分，良得</w:t>
            </w:r>
            <w:r>
              <w:rPr>
                <w:szCs w:val="21"/>
              </w:rPr>
              <w:t>3-2</w:t>
            </w:r>
            <w:r>
              <w:rPr>
                <w:rFonts w:hint="eastAsia"/>
                <w:szCs w:val="21"/>
              </w:rPr>
              <w:t>分，差得</w:t>
            </w:r>
            <w:r>
              <w:rPr>
                <w:szCs w:val="21"/>
              </w:rPr>
              <w:t>1-0</w:t>
            </w:r>
            <w:r>
              <w:rPr>
                <w:rFonts w:hint="eastAsia"/>
                <w:szCs w:val="21"/>
              </w:rPr>
              <w:t>分。</w:t>
            </w:r>
            <w:r>
              <w:rPr>
                <w:rFonts w:hint="eastAsia" w:cs="宋体" w:asciiTheme="minorEastAsia" w:hAnsiTheme="minorEastAsia" w:eastAsiaTheme="minorEastAsia"/>
                <w:b/>
                <w:kern w:val="0"/>
                <w:szCs w:val="21"/>
              </w:rPr>
              <w:t>未按要求提供的，本项不得分</w:t>
            </w:r>
          </w:p>
        </w:tc>
      </w:tr>
      <w:tr>
        <w:tblPrEx>
          <w:tblCellMar>
            <w:top w:w="0" w:type="dxa"/>
            <w:left w:w="0" w:type="dxa"/>
            <w:bottom w:w="0" w:type="dxa"/>
            <w:right w:w="0" w:type="dxa"/>
          </w:tblCellMar>
        </w:tblPrEx>
        <w:trPr>
          <w:trHeight w:val="1309" w:hRule="atLeast"/>
          <w:jc w:val="center"/>
        </w:trPr>
        <w:tc>
          <w:tcPr>
            <w:tcW w:w="1995" w:type="dxa"/>
            <w:tcBorders>
              <w:top w:val="single" w:color="auto" w:sz="4" w:space="0"/>
              <w:left w:val="single" w:color="000000" w:sz="4" w:space="0"/>
              <w:bottom w:val="single" w:color="auto"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学术能力（3分）</w:t>
            </w:r>
          </w:p>
        </w:tc>
        <w:tc>
          <w:tcPr>
            <w:tcW w:w="158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lang w:eastAsia="en-US"/>
              </w:rPr>
            </w:pPr>
            <w:r>
              <w:rPr>
                <w:rFonts w:hint="eastAsia"/>
                <w:szCs w:val="21"/>
              </w:rPr>
              <w:t>学术能力（3分）</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近二年内（从</w:t>
            </w:r>
            <w:r>
              <w:rPr>
                <w:szCs w:val="21"/>
              </w:rPr>
              <w:t>20</w:t>
            </w:r>
            <w:r>
              <w:rPr>
                <w:rFonts w:hint="eastAsia"/>
                <w:szCs w:val="21"/>
              </w:rPr>
              <w:t>21年3月22日开始），投标人为已合作客户举办的学术会议次数：每提供一次得</w:t>
            </w:r>
            <w:r>
              <w:rPr>
                <w:szCs w:val="21"/>
              </w:rPr>
              <w:t>1</w:t>
            </w:r>
            <w:r>
              <w:rPr>
                <w:rFonts w:hint="eastAsia"/>
                <w:szCs w:val="21"/>
              </w:rPr>
              <w:t>分，最多得3分。（提供学术会议文件、图片等证明材料）。</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cs="宋体" w:asciiTheme="minorEastAsia" w:hAnsiTheme="minorEastAsia" w:eastAsiaTheme="minorEastAsia"/>
                <w:b/>
                <w:kern w:val="0"/>
                <w:szCs w:val="21"/>
              </w:rPr>
              <w:t>（本小项最高得3分，投标文件中必须附</w:t>
            </w:r>
            <w:r>
              <w:rPr>
                <w:rFonts w:hint="eastAsia"/>
                <w:b/>
                <w:szCs w:val="21"/>
              </w:rPr>
              <w:t>学术会议文件、图片等</w:t>
            </w:r>
            <w:r>
              <w:rPr>
                <w:rFonts w:hint="eastAsia" w:cs="宋体" w:asciiTheme="minorEastAsia" w:hAnsiTheme="minorEastAsia" w:eastAsiaTheme="minorEastAsia"/>
                <w:b/>
                <w:kern w:val="0"/>
                <w:szCs w:val="21"/>
              </w:rPr>
              <w:t>相关证明材料影印件。未按要求提供的，本项不得分）</w:t>
            </w:r>
          </w:p>
        </w:tc>
      </w:tr>
      <w:tr>
        <w:tblPrEx>
          <w:tblCellMar>
            <w:top w:w="0" w:type="dxa"/>
            <w:left w:w="0" w:type="dxa"/>
            <w:bottom w:w="0" w:type="dxa"/>
            <w:right w:w="0" w:type="dxa"/>
          </w:tblCellMar>
        </w:tblPrEx>
        <w:trPr>
          <w:trHeight w:val="2400" w:hRule="atLeast"/>
          <w:jc w:val="center"/>
        </w:trPr>
        <w:tc>
          <w:tcPr>
            <w:tcW w:w="1995" w:type="dxa"/>
            <w:vMerge w:val="restart"/>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公司实力（</w:t>
            </w:r>
            <w:r>
              <w:rPr>
                <w:szCs w:val="21"/>
              </w:rPr>
              <w:t>3</w:t>
            </w:r>
            <w:r>
              <w:rPr>
                <w:rFonts w:hint="eastAsia"/>
                <w:szCs w:val="21"/>
              </w:rPr>
              <w:t>3分）</w:t>
            </w:r>
          </w:p>
        </w:tc>
        <w:tc>
          <w:tcPr>
            <w:tcW w:w="158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r>
              <w:rPr>
                <w:rFonts w:hint="eastAsia"/>
                <w:szCs w:val="21"/>
              </w:rPr>
              <w:t>客户服务平台</w:t>
            </w:r>
          </w:p>
          <w:p>
            <w:pPr>
              <w:widowControl/>
              <w:jc w:val="left"/>
              <w:textAlignment w:val="center"/>
              <w:rPr>
                <w:rFonts w:ascii="Calibri" w:hAnsi="Calibri"/>
                <w:szCs w:val="21"/>
                <w:lang w:eastAsia="en-US"/>
              </w:rPr>
            </w:pPr>
            <w:r>
              <w:rPr>
                <w:rFonts w:hint="eastAsia"/>
                <w:szCs w:val="21"/>
              </w:rPr>
              <w:t>（</w:t>
            </w:r>
            <w:r>
              <w:rPr>
                <w:szCs w:val="21"/>
              </w:rPr>
              <w:t>10</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r>
              <w:rPr>
                <w:rFonts w:hint="eastAsia" w:ascii="宋体" w:hAnsi="宋体" w:cs="宋体"/>
                <w:kern w:val="0"/>
                <w:sz w:val="22"/>
                <w:szCs w:val="21"/>
              </w:rPr>
              <w:t>1</w:t>
            </w:r>
            <w:r>
              <w:rPr>
                <w:rFonts w:hint="eastAsia"/>
                <w:szCs w:val="21"/>
              </w:rPr>
              <w:t>：免费提供网络报告查询及打印平台，有400或800客户服务平台得2分；</w:t>
            </w:r>
          </w:p>
          <w:p>
            <w:pPr>
              <w:widowControl/>
              <w:jc w:val="left"/>
              <w:textAlignment w:val="center"/>
              <w:rPr>
                <w:szCs w:val="21"/>
              </w:rPr>
            </w:pPr>
            <w:r>
              <w:rPr>
                <w:rFonts w:hint="eastAsia"/>
                <w:szCs w:val="21"/>
              </w:rPr>
              <w:t>2：免费实现与医院LIS系统的数据采集及实时结果返回，投标人提供承诺书得3分；</w:t>
            </w:r>
          </w:p>
          <w:p>
            <w:pPr>
              <w:widowControl/>
              <w:jc w:val="left"/>
              <w:textAlignment w:val="center"/>
              <w:rPr>
                <w:rFonts w:ascii="Calibri" w:hAnsi="Calibri"/>
                <w:szCs w:val="21"/>
              </w:rPr>
            </w:pPr>
            <w:r>
              <w:rPr>
                <w:rFonts w:hint="eastAsia"/>
                <w:szCs w:val="21"/>
              </w:rPr>
              <w:t>3：能够保证其LIS系统的知识产权，提供LIS系统软件著作权登记证书影印件得2分，提供标本数据对接系统软件著作权登记证书影印件得3分。</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rFonts w:ascii="Calibri" w:hAnsi="Calibri"/>
                <w:szCs w:val="21"/>
              </w:rPr>
            </w:pPr>
            <w:r>
              <w:rPr>
                <w:rFonts w:hint="eastAsia"/>
                <w:szCs w:val="21"/>
              </w:rPr>
              <w:t>提供承诺书并加盖投标人公章及</w:t>
            </w:r>
            <w:r>
              <w:rPr>
                <w:szCs w:val="21"/>
              </w:rPr>
              <w:t>3</w:t>
            </w:r>
            <w:r>
              <w:rPr>
                <w:rFonts w:hint="eastAsia"/>
                <w:szCs w:val="21"/>
              </w:rPr>
              <w:t>家已合作医院</w:t>
            </w:r>
            <w:r>
              <w:rPr>
                <w:szCs w:val="21"/>
              </w:rPr>
              <w:t>LIS</w:t>
            </w:r>
            <w:r>
              <w:rPr>
                <w:rFonts w:hint="eastAsia"/>
                <w:szCs w:val="21"/>
              </w:rPr>
              <w:t>对接的证明材料（证明材料须盖有合作医院公章）影印件。</w:t>
            </w:r>
            <w:r>
              <w:rPr>
                <w:rFonts w:hint="eastAsia" w:cs="宋体" w:asciiTheme="minorEastAsia" w:hAnsiTheme="minorEastAsia" w:eastAsiaTheme="minorEastAsia"/>
                <w:b/>
                <w:kern w:val="0"/>
                <w:szCs w:val="21"/>
              </w:rPr>
              <w:t>未按要求提供的，本项不得分</w:t>
            </w:r>
          </w:p>
        </w:tc>
      </w:tr>
      <w:tr>
        <w:tblPrEx>
          <w:tblCellMar>
            <w:top w:w="0" w:type="dxa"/>
            <w:left w:w="0" w:type="dxa"/>
            <w:bottom w:w="0" w:type="dxa"/>
            <w:right w:w="0" w:type="dxa"/>
          </w:tblCellMar>
        </w:tblPrEx>
        <w:trPr>
          <w:trHeight w:val="678" w:hRule="atLeast"/>
          <w:jc w:val="center"/>
        </w:trPr>
        <w:tc>
          <w:tcPr>
            <w:tcW w:w="199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lang w:eastAsia="en-US"/>
              </w:rPr>
            </w:pPr>
            <w:r>
              <w:rPr>
                <w:rFonts w:hint="eastAsia"/>
                <w:szCs w:val="21"/>
              </w:rPr>
              <w:t>物流服务</w:t>
            </w:r>
            <w:r>
              <w:rPr>
                <w:szCs w:val="21"/>
              </w:rPr>
              <w:t>(5</w:t>
            </w:r>
            <w:r>
              <w:rPr>
                <w:rFonts w:hint="eastAsia"/>
                <w:szCs w:val="21"/>
              </w:rPr>
              <w:t>分</w:t>
            </w:r>
            <w:r>
              <w:rPr>
                <w:szCs w:val="21"/>
              </w:rPr>
              <w:t>)</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ascii="Calibri" w:hAnsi="Calibri"/>
                <w:szCs w:val="21"/>
              </w:rPr>
              <w:t>提供安徽省内冷链物流试点证书得5分，</w:t>
            </w:r>
            <w:r>
              <w:rPr>
                <w:rFonts w:hint="eastAsia" w:cs="宋体" w:asciiTheme="minorEastAsia" w:hAnsiTheme="minorEastAsia" w:eastAsiaTheme="minorEastAsia"/>
                <w:b/>
                <w:kern w:val="0"/>
                <w:szCs w:val="21"/>
              </w:rPr>
              <w:t>未按要求提供的，本项不得分</w:t>
            </w:r>
            <w:r>
              <w:rPr>
                <w:rFonts w:hint="eastAsia" w:ascii="Calibri" w:hAnsi="Calibri"/>
                <w:szCs w:val="21"/>
              </w:rPr>
              <w:t>。</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rFonts w:ascii="Calibri" w:hAnsi="Calibri"/>
                <w:szCs w:val="21"/>
              </w:rPr>
            </w:pPr>
            <w:r>
              <w:rPr>
                <w:rFonts w:hint="eastAsia"/>
                <w:b/>
                <w:szCs w:val="21"/>
              </w:rPr>
              <w:t>提供冷链物流试点证书</w:t>
            </w:r>
            <w:r>
              <w:rPr>
                <w:rFonts w:hint="eastAsia" w:cs="宋体" w:asciiTheme="minorEastAsia" w:hAnsiTheme="minorEastAsia" w:eastAsiaTheme="minorEastAsia"/>
                <w:b/>
                <w:kern w:val="0"/>
                <w:szCs w:val="21"/>
              </w:rPr>
              <w:t>影印件。未按要求提供的，本项不得分</w:t>
            </w:r>
            <w:r>
              <w:rPr>
                <w:rFonts w:hint="eastAsia"/>
                <w:szCs w:val="21"/>
              </w:rPr>
              <w:t>。</w:t>
            </w:r>
          </w:p>
        </w:tc>
      </w:tr>
      <w:tr>
        <w:tblPrEx>
          <w:tblCellMar>
            <w:top w:w="0" w:type="dxa"/>
            <w:left w:w="0" w:type="dxa"/>
            <w:bottom w:w="0" w:type="dxa"/>
            <w:right w:w="0" w:type="dxa"/>
          </w:tblCellMar>
        </w:tblPrEx>
        <w:trPr>
          <w:trHeight w:val="60" w:hRule="atLeast"/>
          <w:jc w:val="center"/>
        </w:trPr>
        <w:tc>
          <w:tcPr>
            <w:tcW w:w="199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p>
          <w:p>
            <w:pPr>
              <w:widowControl/>
              <w:jc w:val="left"/>
              <w:textAlignment w:val="center"/>
              <w:rPr>
                <w:rFonts w:ascii="Calibri" w:hAnsi="Calibri"/>
                <w:szCs w:val="21"/>
              </w:rPr>
            </w:pPr>
            <w:r>
              <w:rPr>
                <w:rFonts w:hint="eastAsia"/>
                <w:szCs w:val="21"/>
              </w:rPr>
              <w:t>业绩证明（</w:t>
            </w:r>
            <w:r>
              <w:rPr>
                <w:szCs w:val="21"/>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投标人在安徽省内的三级医院合作数量，每提供一家得1分，最多得5分。</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rFonts w:ascii="Calibri" w:hAnsi="Calibri"/>
                <w:szCs w:val="21"/>
              </w:rPr>
            </w:pPr>
            <w:r>
              <w:rPr>
                <w:rFonts w:hint="eastAsia"/>
                <w:szCs w:val="21"/>
              </w:rPr>
              <w:t>提供合作三级医院汇总表，表内注明医院名称、等级、合作起止时间；后附有效期内合同影印件。</w:t>
            </w:r>
            <w:r>
              <w:rPr>
                <w:rFonts w:hint="eastAsia" w:cs="宋体" w:asciiTheme="minorEastAsia" w:hAnsiTheme="minorEastAsia" w:eastAsiaTheme="minorEastAsia"/>
                <w:b/>
                <w:kern w:val="0"/>
                <w:szCs w:val="21"/>
              </w:rPr>
              <w:t>未按要求提供的，本项不得分</w:t>
            </w:r>
          </w:p>
        </w:tc>
      </w:tr>
      <w:tr>
        <w:tblPrEx>
          <w:tblCellMar>
            <w:top w:w="0" w:type="dxa"/>
            <w:left w:w="0" w:type="dxa"/>
            <w:bottom w:w="0" w:type="dxa"/>
            <w:right w:w="0" w:type="dxa"/>
          </w:tblCellMar>
        </w:tblPrEx>
        <w:trPr>
          <w:trHeight w:val="1800" w:hRule="atLeast"/>
          <w:jc w:val="center"/>
        </w:trPr>
        <w:tc>
          <w:tcPr>
            <w:tcW w:w="199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szCs w:val="21"/>
              </w:rPr>
            </w:pPr>
          </w:p>
          <w:p>
            <w:pPr>
              <w:widowControl/>
              <w:jc w:val="left"/>
              <w:textAlignment w:val="center"/>
              <w:rPr>
                <w:rFonts w:ascii="Calibri" w:hAnsi="Calibri"/>
                <w:szCs w:val="21"/>
              </w:rPr>
            </w:pPr>
            <w:r>
              <w:rPr>
                <w:rFonts w:hint="eastAsia"/>
                <w:szCs w:val="21"/>
              </w:rPr>
              <w:t>综合实力（</w:t>
            </w:r>
            <w:r>
              <w:rPr>
                <w:szCs w:val="21"/>
              </w:rPr>
              <w:t>1</w:t>
            </w:r>
            <w:r>
              <w:rPr>
                <w:rFonts w:hint="eastAsia"/>
                <w:szCs w:val="21"/>
              </w:rPr>
              <w:t>3分）</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numPr>
                <w:ilvl w:val="0"/>
                <w:numId w:val="4"/>
              </w:numPr>
              <w:jc w:val="left"/>
              <w:textAlignment w:val="center"/>
              <w:rPr>
                <w:szCs w:val="21"/>
              </w:rPr>
            </w:pPr>
            <w:r>
              <w:rPr>
                <w:rFonts w:hint="eastAsia"/>
                <w:szCs w:val="21"/>
              </w:rPr>
              <w:t>在安徽省内具有ISO15189实验室质量和能力认可的实验室得10分，在安徽省外具有ISO15189实验室质量和能力认可的实验室得2分，没有则不得分（本小项最高得分10分）</w:t>
            </w:r>
          </w:p>
          <w:p>
            <w:pPr>
              <w:widowControl/>
              <w:numPr>
                <w:ilvl w:val="0"/>
                <w:numId w:val="4"/>
              </w:numPr>
              <w:jc w:val="left"/>
              <w:textAlignment w:val="center"/>
              <w:rPr>
                <w:szCs w:val="21"/>
              </w:rPr>
            </w:pPr>
            <w:r>
              <w:rPr>
                <w:rFonts w:hint="eastAsia"/>
                <w:szCs w:val="21"/>
              </w:rPr>
              <w:t>高新技术企业得1分（提供证书影印件）；</w:t>
            </w:r>
          </w:p>
          <w:p>
            <w:pPr>
              <w:widowControl/>
              <w:numPr>
                <w:ilvl w:val="0"/>
                <w:numId w:val="4"/>
              </w:numPr>
              <w:jc w:val="left"/>
              <w:textAlignment w:val="center"/>
              <w:rPr>
                <w:szCs w:val="21"/>
              </w:rPr>
            </w:pPr>
            <w:r>
              <w:rPr>
                <w:rFonts w:hint="eastAsia"/>
                <w:szCs w:val="21"/>
              </w:rPr>
              <w:t>3、提供</w:t>
            </w:r>
            <w:r>
              <w:rPr>
                <w:szCs w:val="21"/>
              </w:rPr>
              <w:t>PCR</w:t>
            </w:r>
            <w:r>
              <w:rPr>
                <w:rFonts w:hint="eastAsia"/>
                <w:szCs w:val="21"/>
              </w:rPr>
              <w:t>实验室认证证书得1分，没有则不得分（提供证书影印件）；</w:t>
            </w:r>
          </w:p>
          <w:p>
            <w:pPr>
              <w:widowControl/>
              <w:jc w:val="left"/>
              <w:textAlignment w:val="center"/>
              <w:rPr>
                <w:szCs w:val="21"/>
              </w:rPr>
            </w:pPr>
            <w:r>
              <w:rPr>
                <w:rFonts w:hint="eastAsia"/>
                <w:szCs w:val="21"/>
              </w:rPr>
              <w:t>4、城镇职工医保定点单位得1分，没有则不得分；</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ascii="Calibri" w:hAnsi="Calibri"/>
                <w:szCs w:val="21"/>
              </w:rPr>
              <w:t>评审核验标书中的下述文件：</w:t>
            </w:r>
          </w:p>
          <w:p>
            <w:pPr>
              <w:widowControl/>
              <w:jc w:val="left"/>
              <w:textAlignment w:val="center"/>
              <w:rPr>
                <w:rFonts w:ascii="Calibri" w:hAnsi="Calibri"/>
                <w:szCs w:val="21"/>
              </w:rPr>
            </w:pPr>
            <w:r>
              <w:rPr>
                <w:rFonts w:hint="eastAsia" w:ascii="Calibri" w:hAnsi="Calibri"/>
                <w:szCs w:val="21"/>
              </w:rPr>
              <w:t>提供相关的证明材料及证书影印件。</w:t>
            </w:r>
          </w:p>
          <w:p>
            <w:pPr>
              <w:widowControl/>
              <w:jc w:val="left"/>
              <w:textAlignment w:val="center"/>
              <w:rPr>
                <w:rFonts w:ascii="Calibri" w:hAnsi="Calibri"/>
                <w:szCs w:val="21"/>
              </w:rPr>
            </w:pPr>
            <w:r>
              <w:rPr>
                <w:rFonts w:hint="eastAsia" w:ascii="Calibri" w:hAnsi="Calibri"/>
                <w:szCs w:val="21"/>
              </w:rPr>
              <w:t>因疫情影响，如2023年城镇职工医保定点单位证书未发，可以提供2022年内有效的证明文件。</w:t>
            </w:r>
            <w:r>
              <w:rPr>
                <w:rFonts w:hint="eastAsia"/>
                <w:b/>
                <w:szCs w:val="21"/>
              </w:rPr>
              <w:t>未按要求提供的， 本项不得分</w:t>
            </w:r>
          </w:p>
        </w:tc>
      </w:tr>
      <w:tr>
        <w:tblPrEx>
          <w:tblCellMar>
            <w:top w:w="0" w:type="dxa"/>
            <w:left w:w="0" w:type="dxa"/>
            <w:bottom w:w="0" w:type="dxa"/>
            <w:right w:w="0" w:type="dxa"/>
          </w:tblCellMar>
        </w:tblPrEx>
        <w:trPr>
          <w:trHeight w:val="1480" w:hRule="atLeast"/>
          <w:jc w:val="center"/>
        </w:trPr>
        <w:tc>
          <w:tcPr>
            <w:tcW w:w="199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r>
              <w:rPr>
                <w:rFonts w:hint="eastAsia"/>
                <w:szCs w:val="21"/>
              </w:rPr>
              <w:t>实验室人员资质</w:t>
            </w:r>
          </w:p>
          <w:p>
            <w:pPr>
              <w:widowControl/>
              <w:jc w:val="left"/>
              <w:textAlignment w:val="center"/>
              <w:rPr>
                <w:rFonts w:ascii="Calibri" w:hAnsi="Calibri"/>
                <w:szCs w:val="21"/>
              </w:rPr>
            </w:pPr>
            <w:r>
              <w:rPr>
                <w:rFonts w:hint="eastAsia"/>
                <w:szCs w:val="21"/>
              </w:rPr>
              <w:t>（</w:t>
            </w:r>
            <w:r>
              <w:rPr>
                <w:szCs w:val="21"/>
              </w:rPr>
              <w:t>5</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人员资质（</w:t>
            </w:r>
            <w:r>
              <w:rPr>
                <w:szCs w:val="21"/>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为本项目投入</w:t>
            </w:r>
            <w:r>
              <w:rPr>
                <w:szCs w:val="21"/>
              </w:rPr>
              <w:t>20</w:t>
            </w:r>
            <w:r>
              <w:rPr>
                <w:rFonts w:hint="eastAsia"/>
                <w:szCs w:val="21"/>
              </w:rPr>
              <w:t>名及以上持有医学检验、临床医学资格证（执业资格）的专职人员得</w:t>
            </w:r>
            <w:r>
              <w:rPr>
                <w:szCs w:val="21"/>
              </w:rPr>
              <w:t>5</w:t>
            </w:r>
            <w:r>
              <w:rPr>
                <w:rFonts w:hint="eastAsia"/>
                <w:szCs w:val="21"/>
              </w:rPr>
              <w:t>分，人员少于该要求的则不得分。</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b/>
                <w:szCs w:val="21"/>
              </w:rPr>
            </w:pPr>
            <w:r>
              <w:rPr>
                <w:rFonts w:hint="eastAsia"/>
                <w:b/>
                <w:szCs w:val="21"/>
              </w:rPr>
              <w:t>（投标文件中必须附人员资质证书、企业注册地社保部门出具的近六个月社保缴纳证明书面材料影印件。未按要求提供的， 本项不得分</w:t>
            </w:r>
          </w:p>
        </w:tc>
      </w:tr>
      <w:tr>
        <w:tblPrEx>
          <w:tblCellMar>
            <w:top w:w="0" w:type="dxa"/>
            <w:left w:w="0" w:type="dxa"/>
            <w:bottom w:w="0" w:type="dxa"/>
            <w:right w:w="0" w:type="dxa"/>
          </w:tblCellMar>
        </w:tblPrEx>
        <w:trPr>
          <w:trHeight w:val="472" w:hRule="atLeast"/>
          <w:jc w:val="center"/>
        </w:trPr>
        <w:tc>
          <w:tcPr>
            <w:tcW w:w="199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r>
              <w:rPr>
                <w:rFonts w:hint="eastAsia"/>
                <w:szCs w:val="21"/>
              </w:rPr>
              <w:t>信誉评价（2分）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szCs w:val="21"/>
              </w:rPr>
            </w:pPr>
            <w:r>
              <w:rPr>
                <w:rFonts w:hint="eastAsia"/>
                <w:szCs w:val="21"/>
              </w:rPr>
              <w:t>2分</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r>
              <w:rPr>
                <w:rFonts w:hint="eastAsia"/>
                <w:szCs w:val="21"/>
              </w:rPr>
              <w:t>（1）若供应商（不包括供应商分公司或非法人性质分支机构等）被登记机关列入经营异常名录或严重违法失信企业名单（黑名单）信息的，不得推荐为中标候选人，不得确定为中标人。</w:t>
            </w:r>
          </w:p>
          <w:p>
            <w:pPr>
              <w:widowControl/>
              <w:jc w:val="left"/>
              <w:textAlignment w:val="center"/>
              <w:rPr>
                <w:szCs w:val="21"/>
              </w:rPr>
            </w:pPr>
            <w:r>
              <w:rPr>
                <w:rFonts w:hint="eastAsia"/>
                <w:szCs w:val="21"/>
              </w:rPr>
              <w:t>（2）如供应商分公司或非法人性质分支机构无经营异常名录和严重违法失信企业名单（ 黑名单）信息的，得 2分；如供应商分公司或非法人性质分支机构有一条经营异常名录的，扣 0.1 分；如供应商分公司或非法人性质分支机构有一条严重违法失信企业名单（黑名单）信息的，扣0.2  分；本项最高扣2分， 若供应商分公司或非法人性质分支机构已办理注销的不予扣分 （以本项目投标截止时间为查询截止日。核查网址： http://www.gsxt.gov.cn/</w:t>
            </w:r>
            <w:r>
              <w:rPr>
                <w:szCs w:val="21"/>
              </w:rPr>
              <w:t>index.html</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b/>
                <w:szCs w:val="21"/>
              </w:rPr>
            </w:pPr>
            <w:r>
              <w:rPr>
                <w:rFonts w:hint="eastAsia"/>
                <w:b/>
                <w:szCs w:val="21"/>
              </w:rPr>
              <w:t>供应商投标文件中无需 提供相关证明材料，以评标委员会评标时现场查 询结果为准</w:t>
            </w:r>
          </w:p>
        </w:tc>
      </w:tr>
      <w:tr>
        <w:tblPrEx>
          <w:tblCellMar>
            <w:top w:w="0" w:type="dxa"/>
            <w:left w:w="0" w:type="dxa"/>
            <w:bottom w:w="0" w:type="dxa"/>
            <w:right w:w="0" w:type="dxa"/>
          </w:tblCellMar>
        </w:tblPrEx>
        <w:trPr>
          <w:trHeight w:val="1480" w:hRule="atLeast"/>
          <w:jc w:val="center"/>
        </w:trPr>
        <w:tc>
          <w:tcPr>
            <w:tcW w:w="199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r>
              <w:rPr>
                <w:rFonts w:hint="eastAsia"/>
                <w:szCs w:val="21"/>
              </w:rPr>
              <w:t>不良行为记录（2分）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szCs w:val="21"/>
              </w:rPr>
            </w:pPr>
            <w:r>
              <w:rPr>
                <w:rFonts w:hint="eastAsia"/>
                <w:szCs w:val="21"/>
              </w:rPr>
              <w:t>2分</w:t>
            </w:r>
          </w:p>
        </w:tc>
        <w:tc>
          <w:tcPr>
            <w:tcW w:w="422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szCs w:val="21"/>
              </w:rPr>
            </w:pPr>
            <w:r>
              <w:rPr>
                <w:rFonts w:hint="eastAsia"/>
                <w:szCs w:val="21"/>
              </w:rPr>
              <w:t>（1）自 2018 年 7 月 1 日起至投标截止日（含) ，未被安庆市（含五县、桐城市、潜山市）公共资源交易监督管理部门记不良行为记录的，得 2分；</w:t>
            </w:r>
          </w:p>
          <w:p>
            <w:pPr>
              <w:widowControl/>
              <w:jc w:val="left"/>
              <w:textAlignment w:val="center"/>
              <w:rPr>
                <w:szCs w:val="21"/>
              </w:rPr>
            </w:pPr>
            <w:r>
              <w:rPr>
                <w:rFonts w:hint="eastAsia"/>
                <w:szCs w:val="21"/>
              </w:rPr>
              <w:t>(2）自 2018  年 7月 1日起至投标截止日（含) ，被安庆市（含五县、桐城市、潜山市）公共资源交易监督管理部门记不良行为记录，但投标截止日不在公示有效期内( 公示有效期即限制行为开始时间至限制行为结束时间) 的得 1分﹔</w:t>
            </w:r>
          </w:p>
          <w:p>
            <w:pPr>
              <w:widowControl/>
              <w:jc w:val="left"/>
              <w:textAlignment w:val="center"/>
              <w:rPr>
                <w:szCs w:val="21"/>
              </w:rPr>
            </w:pPr>
            <w:r>
              <w:rPr>
                <w:rFonts w:hint="eastAsia"/>
                <w:szCs w:val="21"/>
              </w:rPr>
              <w:t>(3）自 2018 年 7 月 1 日起至投标截止日（含) ，被安庆市（含五县、桐城市、潜山市）公共资源交易监督管理部门记不良行为记录且投标截止日在公示有效期内(公示有效期即限制行为开始时间至限制行为结束时间) 的得 0分；</w:t>
            </w:r>
          </w:p>
          <w:p>
            <w:pPr>
              <w:widowControl/>
              <w:jc w:val="left"/>
              <w:textAlignment w:val="center"/>
              <w:rPr>
                <w:szCs w:val="21"/>
              </w:rPr>
            </w:pPr>
            <w:r>
              <w:rPr>
                <w:rFonts w:hint="eastAsia"/>
                <w:szCs w:val="21"/>
              </w:rPr>
              <w:t>(4）自2018 年 7 月 1日起至投标截止日 (含），累计被安庆市( 含五县、桐城市、潜山市）公共资源交易监督管理部门记 2次及以上不良行为记录的得 0 分）。核查网址：http://aqggzy.anqing.gov.cn/。）</w:t>
            </w:r>
          </w:p>
        </w:tc>
        <w:tc>
          <w:tcPr>
            <w:tcW w:w="227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b/>
                <w:szCs w:val="21"/>
              </w:rPr>
            </w:pPr>
            <w:r>
              <w:rPr>
                <w:rFonts w:hint="eastAsia"/>
                <w:b/>
                <w:szCs w:val="21"/>
              </w:rPr>
              <w:t>供应商投标文件中无需 提供相关证明材料，以评标委员会评标时现场查 询结果为准</w:t>
            </w:r>
          </w:p>
        </w:tc>
      </w:tr>
      <w:tr>
        <w:tblPrEx>
          <w:tblCellMar>
            <w:top w:w="0" w:type="dxa"/>
            <w:left w:w="0" w:type="dxa"/>
            <w:bottom w:w="0" w:type="dxa"/>
            <w:right w:w="0" w:type="dxa"/>
          </w:tblCellMar>
        </w:tblPrEx>
        <w:trPr>
          <w:trHeight w:val="968" w:hRule="atLeast"/>
          <w:jc w:val="center"/>
        </w:trPr>
        <w:tc>
          <w:tcPr>
            <w:tcW w:w="199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价格分（</w:t>
            </w:r>
            <w:r>
              <w:rPr>
                <w:szCs w:val="21"/>
              </w:rPr>
              <w:t>30</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报价（</w:t>
            </w:r>
            <w:r>
              <w:rPr>
                <w:szCs w:val="21"/>
              </w:rPr>
              <w:t>30</w:t>
            </w:r>
            <w:r>
              <w:rPr>
                <w:rFonts w:hint="eastAsia"/>
                <w:szCs w:val="21"/>
              </w:rPr>
              <w:t>分）</w:t>
            </w:r>
          </w:p>
        </w:tc>
        <w:tc>
          <w:tcPr>
            <w:tcW w:w="6505" w:type="dxa"/>
            <w:gridSpan w:val="2"/>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360" w:lineRule="auto"/>
              <w:rPr>
                <w:rFonts w:ascii="宋体" w:hAnsi="宋体" w:cs="黑体"/>
                <w:bCs/>
                <w:snapToGrid w:val="0"/>
                <w:szCs w:val="21"/>
              </w:rPr>
            </w:pPr>
            <w:bookmarkStart w:id="80" w:name="OLE_LINK5"/>
            <w:bookmarkStart w:id="81" w:name="OLE_LINK6"/>
            <w:r>
              <w:rPr>
                <w:rFonts w:hint="eastAsia" w:ascii="宋体" w:hAnsi="宋体" w:cs="黑体"/>
                <w:bCs/>
                <w:snapToGrid w:val="0"/>
                <w:color w:val="FF0000"/>
                <w:szCs w:val="21"/>
              </w:rPr>
              <w:t>投标人报价得分＝（评标基准费率</w:t>
            </w:r>
            <w:r>
              <w:rPr>
                <w:rFonts w:ascii="宋体" w:hAnsi="宋体" w:cs="黑体"/>
                <w:bCs/>
                <w:snapToGrid w:val="0"/>
                <w:color w:val="FF0000"/>
                <w:szCs w:val="21"/>
              </w:rPr>
              <w:t>/</w:t>
            </w:r>
            <w:r>
              <w:rPr>
                <w:rFonts w:hint="eastAsia" w:ascii="宋体" w:hAnsi="宋体" w:cs="黑体"/>
                <w:bCs/>
                <w:snapToGrid w:val="0"/>
                <w:color w:val="FF0000"/>
                <w:szCs w:val="21"/>
              </w:rPr>
              <w:t>投标费率）×30％×</w:t>
            </w:r>
            <w:r>
              <w:rPr>
                <w:rFonts w:ascii="宋体" w:hAnsi="宋体" w:cs="黑体"/>
                <w:bCs/>
                <w:snapToGrid w:val="0"/>
                <w:color w:val="FF0000"/>
                <w:szCs w:val="21"/>
              </w:rPr>
              <w:t>100</w:t>
            </w:r>
            <w:r>
              <w:rPr>
                <w:rFonts w:hint="eastAsia" w:ascii="宋体" w:hAnsi="宋体" w:cs="黑体"/>
                <w:bCs/>
                <w:snapToGrid w:val="0"/>
                <w:szCs w:val="21"/>
              </w:rPr>
              <w:t>；</w:t>
            </w:r>
          </w:p>
          <w:p>
            <w:pPr>
              <w:spacing w:line="360" w:lineRule="auto"/>
              <w:rPr>
                <w:rFonts w:ascii="宋体" w:hAnsi="宋体" w:cs="黑体"/>
                <w:bCs/>
                <w:snapToGrid w:val="0"/>
                <w:szCs w:val="21"/>
              </w:rPr>
            </w:pPr>
            <w:r>
              <w:rPr>
                <w:rFonts w:hint="eastAsia" w:ascii="宋体" w:hAnsi="宋体" w:cs="黑体"/>
                <w:bCs/>
                <w:snapToGrid w:val="0"/>
                <w:szCs w:val="21"/>
              </w:rPr>
              <w:t>评标基准费率为满足招标文件要求且投标费率最低的投标费率；</w:t>
            </w:r>
          </w:p>
          <w:p>
            <w:pPr>
              <w:spacing w:line="360" w:lineRule="auto"/>
              <w:rPr>
                <w:rFonts w:ascii="宋体" w:hAnsi="宋体" w:cs="黑体"/>
                <w:bCs/>
                <w:snapToGrid w:val="0"/>
                <w:szCs w:val="21"/>
              </w:rPr>
            </w:pPr>
            <w:r>
              <w:rPr>
                <w:rFonts w:hint="eastAsia" w:ascii="宋体" w:hAnsi="宋体" w:cs="黑体"/>
                <w:bCs/>
                <w:snapToGrid w:val="0"/>
                <w:szCs w:val="21"/>
              </w:rPr>
              <w:t>投标人所报费率为投标函中投标费率。</w:t>
            </w:r>
            <w:bookmarkEnd w:id="80"/>
            <w:bookmarkEnd w:id="81"/>
          </w:p>
          <w:p>
            <w:pPr>
              <w:widowControl/>
              <w:jc w:val="left"/>
              <w:textAlignment w:val="center"/>
              <w:rPr>
                <w:szCs w:val="21"/>
              </w:rPr>
            </w:pPr>
            <w:r>
              <w:rPr>
                <w:rFonts w:hint="eastAsia" w:ascii="宋体" w:hAnsi="宋体" w:cs="黑体"/>
                <w:bCs/>
                <w:snapToGrid w:val="0"/>
                <w:szCs w:val="21"/>
              </w:rPr>
              <w:t>（商务报价分计算至小数点后第二位、小数点后第三位四舍五入）</w:t>
            </w:r>
          </w:p>
        </w:tc>
      </w:tr>
    </w:tbl>
    <w:p>
      <w:pPr>
        <w:pStyle w:val="44"/>
        <w:rPr>
          <w:rFonts w:asciiTheme="minorEastAsia" w:hAnsiTheme="minorEastAsia" w:eastAsiaTheme="minorEastAsia" w:cstheme="minorEastAsia"/>
          <w:snapToGrid w:val="0"/>
          <w:color w:val="000000"/>
          <w:kern w:val="0"/>
        </w:rPr>
      </w:pPr>
    </w:p>
    <w:p>
      <w:pPr>
        <w:pStyle w:val="44"/>
        <w:rPr>
          <w:rFonts w:asciiTheme="minorEastAsia" w:hAnsiTheme="minorEastAsia" w:eastAsiaTheme="minorEastAsia" w:cstheme="minorEastAsia"/>
          <w:snapToGrid w:val="0"/>
          <w:color w:val="000000"/>
          <w:kern w:val="0"/>
        </w:rPr>
      </w:pPr>
    </w:p>
    <w:p>
      <w:pPr>
        <w:pStyle w:val="44"/>
        <w:rPr>
          <w:rFonts w:asciiTheme="minorEastAsia" w:hAnsiTheme="minorEastAsia" w:eastAsiaTheme="minorEastAsia" w:cstheme="minorEastAsia"/>
          <w:snapToGrid w:val="0"/>
          <w:color w:val="000000"/>
          <w:kern w:val="0"/>
        </w:rPr>
      </w:pPr>
    </w:p>
    <w:p>
      <w:pPr>
        <w:pStyle w:val="44"/>
        <w:ind w:left="0" w:firstLine="0"/>
        <w:rPr>
          <w:rFonts w:asciiTheme="minorEastAsia" w:hAnsiTheme="minorEastAsia" w:eastAsiaTheme="minorEastAsia" w:cstheme="minorEastAsia"/>
          <w:snapToGrid w:val="0"/>
          <w:color w:val="000000"/>
          <w:kern w:val="0"/>
        </w:rPr>
      </w:pPr>
    </w:p>
    <w:p>
      <w:pPr>
        <w:spacing w:line="360" w:lineRule="auto"/>
        <w:ind w:firstLine="310" w:firstLineChars="147"/>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备注：</w:t>
      </w:r>
    </w:p>
    <w:p>
      <w:pPr>
        <w:numPr>
          <w:ilvl w:val="0"/>
          <w:numId w:val="5"/>
        </w:numPr>
        <w:spacing w:line="360" w:lineRule="auto"/>
        <w:ind w:firstLine="31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以上评分汇总分精确至小数点后二位、小数点后第三位四舍五入。</w:t>
      </w:r>
    </w:p>
    <w:p>
      <w:pPr>
        <w:spacing w:line="360" w:lineRule="auto"/>
        <w:ind w:firstLine="527" w:firstLineChars="250"/>
        <w:rPr>
          <w:rFonts w:asciiTheme="minorEastAsia" w:hAnsiTheme="minorEastAsia" w:eastAsiaTheme="minorEastAsia" w:cstheme="minorEastAsia"/>
          <w:b/>
          <w:szCs w:val="21"/>
        </w:rPr>
      </w:pPr>
      <w:r>
        <w:rPr>
          <w:rFonts w:hint="eastAsia" w:asciiTheme="minorEastAsia" w:hAnsiTheme="minorEastAsia" w:eastAsiaTheme="minorEastAsia" w:cstheme="minorEastAsia"/>
          <w:b/>
          <w:color w:val="000000"/>
          <w:szCs w:val="21"/>
        </w:rPr>
        <w:t>（2）</w:t>
      </w:r>
      <w:r>
        <w:rPr>
          <w:rFonts w:hint="eastAsia" w:asciiTheme="minorEastAsia" w:hAnsiTheme="minorEastAsia" w:eastAsiaTheme="minorEastAsia" w:cstheme="minorEastAsia"/>
          <w:b/>
          <w:szCs w:val="21"/>
        </w:rPr>
        <w:t>投标人提供的证明材料要能清晰反映评分的实质内容，如因材料模糊不清，导致评标委员会无法辨认的，评标委员会可以不予认可，一切后果由投标人自行承担。</w:t>
      </w:r>
    </w:p>
    <w:p>
      <w:pPr>
        <w:spacing w:line="360"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（3）以上评分项中要求投标人提供的证明文件，投标人提供证明文件的扫描件或复印件或影印件即可。</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2.5、失信核查</w:t>
      </w:r>
    </w:p>
    <w:p>
      <w:pPr>
        <w:widowControl/>
        <w:spacing w:line="500" w:lineRule="exact"/>
        <w:ind w:firstLine="420"/>
        <w:jc w:val="left"/>
        <w:rPr>
          <w:rStyle w:val="38"/>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评标委员会查询排序前三名的投标人信用记录，投标人存在不良信用记录的，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38"/>
          <w:rFonts w:hint="eastAsia" w:asciiTheme="minorEastAsia" w:hAnsiTheme="minorEastAsia" w:eastAsiaTheme="minorEastAsia" w:cstheme="minorEastAsia"/>
          <w:color w:val="000000"/>
          <w:szCs w:val="21"/>
        </w:rPr>
        <w:t>评标委员会不得将其推荐为中标候选人，依序递补，并再次对递补的投标人进行核查。</w:t>
      </w:r>
      <w:r>
        <w:rPr>
          <w:rStyle w:val="38"/>
          <w:rFonts w:hint="eastAsia" w:asciiTheme="minorEastAsia" w:hAnsiTheme="minorEastAsia" w:eastAsiaTheme="minorEastAsia" w:cstheme="minorEastAsia"/>
          <w:color w:val="000000"/>
          <w:szCs w:val="21"/>
        </w:rPr>
        <w:fldChar w:fldCharType="end"/>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2.5.2信用信息查询渠道：中国政府采购网（www.ccgp.gov.cn）、“信用中国”网站（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t>）。</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2.5.3、确定中标候选人排序：评委会对通过投标文件</w:t>
      </w:r>
      <w:r>
        <w:rPr>
          <w:rFonts w:hint="eastAsia" w:asciiTheme="minorEastAsia" w:hAnsiTheme="minorEastAsia" w:eastAsiaTheme="minorEastAsia" w:cstheme="minorEastAsia"/>
          <w:bCs/>
          <w:color w:val="000000"/>
        </w:rPr>
        <w:t>符合性审查</w:t>
      </w:r>
      <w:r>
        <w:rPr>
          <w:rFonts w:hint="eastAsia" w:asciiTheme="minorEastAsia" w:hAnsiTheme="minorEastAsia" w:eastAsiaTheme="minorEastAsia" w:cstheme="minorEastAsia"/>
          <w:color w:val="000000"/>
          <w:szCs w:val="21"/>
        </w:rPr>
        <w:t>、报价评审和失信核查的投标人，根据最终得分由高至低的顺序排列。评分最高的为第一中标候选人；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p>
    <w:p>
      <w:pPr>
        <w:rPr>
          <w:rFonts w:asciiTheme="minorEastAsia" w:hAnsiTheme="minorEastAsia" w:eastAsiaTheme="minorEastAsia" w:cstheme="minorEastAsia"/>
          <w:szCs w:val="21"/>
        </w:rPr>
      </w:pPr>
    </w:p>
    <w:p>
      <w:pPr>
        <w:pStyle w:val="44"/>
        <w:rPr>
          <w:rFonts w:asciiTheme="minorEastAsia" w:hAnsiTheme="minorEastAsia" w:eastAsiaTheme="minorEastAsia" w:cstheme="minorEastAsia"/>
        </w:rPr>
      </w:pPr>
    </w:p>
    <w:p>
      <w:pPr>
        <w:pStyle w:val="44"/>
        <w:rPr>
          <w:rFonts w:asciiTheme="minorEastAsia" w:hAnsiTheme="minorEastAsia" w:eastAsiaTheme="minorEastAsia" w:cstheme="minorEastAsia"/>
        </w:rPr>
      </w:pPr>
    </w:p>
    <w:p>
      <w:pPr>
        <w:pStyle w:val="44"/>
        <w:rPr>
          <w:rFonts w:asciiTheme="minorEastAsia" w:hAnsiTheme="minorEastAsia" w:eastAsiaTheme="minorEastAsia" w:cstheme="minorEastAsia"/>
        </w:rPr>
      </w:pPr>
    </w:p>
    <w:p>
      <w:pPr>
        <w:pStyle w:val="44"/>
        <w:rPr>
          <w:rFonts w:asciiTheme="minorEastAsia" w:hAnsiTheme="minorEastAsia" w:eastAsiaTheme="minorEastAsia" w:cstheme="minorEastAsia"/>
        </w:rPr>
      </w:pPr>
    </w:p>
    <w:p>
      <w:pPr>
        <w:pStyle w:val="44"/>
        <w:ind w:left="0" w:firstLine="0"/>
        <w:rPr>
          <w:rFonts w:asciiTheme="minorEastAsia" w:hAnsiTheme="minorEastAsia" w:eastAsiaTheme="minorEastAsia" w:cstheme="minorEastAsia"/>
        </w:rPr>
      </w:pPr>
    </w:p>
    <w:p>
      <w:pPr>
        <w:pStyle w:val="44"/>
        <w:rPr>
          <w:rFonts w:asciiTheme="minorEastAsia" w:hAnsiTheme="minorEastAsia" w:eastAsiaTheme="minorEastAsia" w:cstheme="minorEastAsia"/>
        </w:rPr>
      </w:pPr>
    </w:p>
    <w:p>
      <w:pPr>
        <w:pStyle w:val="5"/>
        <w:numPr>
          <w:ilvl w:val="0"/>
          <w:numId w:val="1"/>
        </w:numPr>
        <w:rPr>
          <w:rFonts w:asciiTheme="minorEastAsia" w:hAnsiTheme="minorEastAsia" w:eastAsiaTheme="minorEastAsia" w:cstheme="minorEastAsia"/>
        </w:rPr>
      </w:pPr>
      <w:bookmarkStart w:id="82" w:name="_Toc9653"/>
      <w:bookmarkStart w:id="83" w:name="_Toc18076"/>
      <w:bookmarkStart w:id="84" w:name="_Toc25944"/>
      <w:bookmarkStart w:id="85" w:name="_Toc15562"/>
      <w:r>
        <w:rPr>
          <w:rFonts w:hint="eastAsia" w:asciiTheme="minorEastAsia" w:hAnsiTheme="minorEastAsia" w:eastAsiaTheme="minorEastAsia" w:cstheme="minorEastAsia"/>
        </w:rPr>
        <w:t>采购需求</w:t>
      </w:r>
      <w:bookmarkEnd w:id="82"/>
      <w:bookmarkEnd w:id="83"/>
      <w:bookmarkEnd w:id="84"/>
      <w:bookmarkEnd w:id="85"/>
    </w:p>
    <w:p>
      <w:pPr>
        <w:ind w:firstLine="422" w:firstLineChars="200"/>
        <w:rPr>
          <w:rFonts w:asciiTheme="minorEastAsia" w:hAnsiTheme="minorEastAsia" w:eastAsiaTheme="minorEastAsia" w:cstheme="minorEastAsia"/>
          <w:b/>
          <w:bCs/>
          <w:szCs w:val="21"/>
        </w:rPr>
      </w:pPr>
      <w:bookmarkStart w:id="86" w:name="_Toc24273"/>
    </w:p>
    <w:p>
      <w:pPr>
        <w:ind w:firstLine="42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本项目采购标的所属行业：______________(此栏目为必填)</w:t>
      </w:r>
    </w:p>
    <w:p>
      <w:pPr>
        <w:ind w:firstLine="422" w:firstLineChars="200"/>
        <w:rPr>
          <w:rFonts w:asciiTheme="minorEastAsia" w:hAnsiTheme="minorEastAsia" w:eastAsiaTheme="minorEastAsia" w:cstheme="minorEastAsia"/>
          <w:b/>
          <w:bCs/>
          <w:szCs w:val="21"/>
        </w:rPr>
      </w:pPr>
    </w:p>
    <w:p>
      <w:pPr>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一、商务要求：</w:t>
      </w:r>
    </w:p>
    <w:p>
      <w:pPr>
        <w:ind w:firstLine="422" w:firstLineChars="200"/>
        <w:rPr>
          <w:rFonts w:asciiTheme="minorEastAsia" w:hAnsiTheme="minorEastAsia" w:eastAsiaTheme="minorEastAsia" w:cstheme="minorEastAsia"/>
          <w:b/>
          <w:bCs/>
          <w:szCs w:val="21"/>
        </w:rPr>
      </w:pPr>
    </w:p>
    <w:tbl>
      <w:tblPr>
        <w:tblStyle w:val="27"/>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487"/>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83"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2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szCs w:val="24"/>
              </w:rPr>
              <w:t>商务条款名称</w:t>
            </w:r>
          </w:p>
          <w:p>
            <w:pPr>
              <w:rPr>
                <w:rFonts w:asciiTheme="minorEastAsia" w:hAnsiTheme="minorEastAsia" w:eastAsiaTheme="minorEastAsia" w:cstheme="minorEastAsia"/>
              </w:rPr>
            </w:pPr>
          </w:p>
        </w:tc>
        <w:tc>
          <w:tcPr>
            <w:tcW w:w="308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3088" w:type="pct"/>
            <w:vAlign w:val="center"/>
          </w:tcPr>
          <w:p>
            <w:pPr>
              <w:jc w:val="left"/>
              <w:rPr>
                <w:rFonts w:asciiTheme="minorEastAsia" w:hAnsiTheme="minorEastAsia" w:eastAsiaTheme="minorEastAsia" w:cstheme="minorEastAsia"/>
                <w:sz w:val="24"/>
              </w:rPr>
            </w:pPr>
            <w:r>
              <w:rPr>
                <w:rFonts w:ascii="宋体" w:hAnsi="宋体"/>
                <w:szCs w:val="21"/>
              </w:rPr>
              <w:t>中标人提供有效发票后</w:t>
            </w:r>
            <w:r>
              <w:rPr>
                <w:rFonts w:hint="eastAsia" w:ascii="宋体" w:hAnsi="宋体"/>
                <w:szCs w:val="21"/>
              </w:rPr>
              <w:t>7工作日内，以实际操作中所需检验项目产生的费用为准</w:t>
            </w:r>
            <w:r>
              <w:rPr>
                <w:rFonts w:ascii="宋体" w:hAnsi="宋体"/>
                <w:szCs w:val="21"/>
              </w:rPr>
              <w:t>按月付款</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28" w:type="pct"/>
            <w:vAlign w:val="center"/>
          </w:tcPr>
          <w:p>
            <w:pPr>
              <w:jc w:val="center"/>
              <w:rPr>
                <w:rFonts w:asciiTheme="minorEastAsia" w:hAnsiTheme="minorEastAsia" w:eastAsiaTheme="minorEastAsia" w:cstheme="minorEastAsia"/>
                <w:sz w:val="24"/>
              </w:rPr>
            </w:pPr>
          </w:p>
        </w:tc>
        <w:tc>
          <w:tcPr>
            <w:tcW w:w="3088" w:type="pct"/>
            <w:vAlign w:val="center"/>
          </w:tcPr>
          <w:p>
            <w:pPr>
              <w:jc w:val="center"/>
              <w:rPr>
                <w:rFonts w:asciiTheme="minorEastAsia" w:hAnsiTheme="minorEastAsia" w:eastAsiaTheme="minorEastAsia" w:cstheme="minorEastAsia"/>
                <w:sz w:val="24"/>
              </w:rPr>
            </w:pPr>
          </w:p>
        </w:tc>
      </w:tr>
    </w:tbl>
    <w:p>
      <w:pPr>
        <w:ind w:firstLine="422" w:firstLineChars="200"/>
        <w:rPr>
          <w:rFonts w:asciiTheme="minorEastAsia" w:hAnsiTheme="minorEastAsia" w:eastAsiaTheme="minorEastAsia" w:cstheme="minorEastAsia"/>
          <w:b/>
          <w:bCs/>
          <w:szCs w:val="21"/>
        </w:rPr>
      </w:pPr>
    </w:p>
    <w:p>
      <w:pPr>
        <w:pStyle w:val="8"/>
        <w:ind w:firstLine="472" w:firstLineChars="196"/>
        <w:rPr>
          <w:rFonts w:asciiTheme="minorEastAsia" w:hAnsiTheme="minorEastAsia" w:eastAsiaTheme="minorEastAsia" w:cstheme="minorEastAsia"/>
          <w:bCs/>
          <w:szCs w:val="24"/>
        </w:rPr>
      </w:pPr>
      <w:bookmarkStart w:id="87" w:name="_Toc24745"/>
    </w:p>
    <w:p>
      <w:pPr>
        <w:pStyle w:val="8"/>
        <w:ind w:firstLine="472" w:firstLineChars="196"/>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7"/>
        <w:rPr>
          <w:rFonts w:asciiTheme="minorEastAsia" w:hAnsiTheme="minorEastAsia" w:eastAsiaTheme="minorEastAsia" w:cstheme="minorEastAsia"/>
          <w:bCs/>
          <w:szCs w:val="24"/>
        </w:rPr>
      </w:pPr>
    </w:p>
    <w:p>
      <w:pPr>
        <w:pStyle w:val="8"/>
        <w:ind w:firstLine="472" w:firstLineChars="196"/>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二、服务要求一览表</w:t>
      </w:r>
      <w:bookmarkEnd w:id="86"/>
      <w:bookmarkEnd w:id="87"/>
    </w:p>
    <w:p>
      <w:pPr>
        <w:jc w:val="center"/>
        <w:rPr>
          <w:b/>
          <w:sz w:val="28"/>
          <w:szCs w:val="28"/>
        </w:rPr>
      </w:pPr>
      <w:r>
        <w:rPr>
          <w:rFonts w:hint="eastAsia"/>
          <w:b/>
          <w:sz w:val="28"/>
          <w:szCs w:val="28"/>
        </w:rPr>
        <w:t>2023年潜山市中医院检验外送项目招标核心条款及采购需求</w:t>
      </w:r>
      <w:r>
        <w:rPr>
          <w:rFonts w:hint="eastAsia"/>
        </w:rPr>
        <w:t xml:space="preserve">         </w:t>
      </w:r>
    </w:p>
    <w:p>
      <w:pPr>
        <w:numPr>
          <w:ilvl w:val="0"/>
          <w:numId w:val="6"/>
        </w:numPr>
        <w:spacing w:line="360" w:lineRule="auto"/>
        <w:rPr>
          <w:sz w:val="24"/>
        </w:rPr>
      </w:pPr>
      <w:r>
        <w:rPr>
          <w:rFonts w:hint="eastAsia"/>
          <w:sz w:val="24"/>
        </w:rPr>
        <w:t>项目概况：</w:t>
      </w:r>
    </w:p>
    <w:p>
      <w:pPr>
        <w:spacing w:line="360" w:lineRule="auto"/>
        <w:ind w:firstLine="480" w:firstLineChars="200"/>
        <w:rPr>
          <w:rFonts w:hAnsi="宋体"/>
          <w:sz w:val="24"/>
        </w:rPr>
      </w:pPr>
      <w:r>
        <w:rPr>
          <w:rFonts w:hint="eastAsia" w:hAnsi="宋体"/>
          <w:sz w:val="24"/>
        </w:rPr>
        <w:t>因潜山市中医院临床诊疗工作需要的部分检验项目目前未能开展，需外送第三方检验机构完成，为保证服务质量，对检验项目外送服务进行招标，本项目服务期为</w:t>
      </w:r>
      <w:r>
        <w:rPr>
          <w:rFonts w:hint="eastAsia" w:hAnsi="宋体"/>
          <w:color w:val="FF0000"/>
          <w:sz w:val="24"/>
        </w:rPr>
        <w:t>1</w:t>
      </w:r>
      <w:r>
        <w:rPr>
          <w:rFonts w:hint="eastAsia" w:hAnsi="宋体"/>
          <w:sz w:val="24"/>
        </w:rPr>
        <w:t>年，投标报价（费率）不得变更。</w:t>
      </w:r>
    </w:p>
    <w:p>
      <w:pPr>
        <w:spacing w:line="360" w:lineRule="auto"/>
        <w:ind w:firstLine="482" w:firstLineChars="200"/>
        <w:rPr>
          <w:rFonts w:hAnsi="宋体"/>
          <w:sz w:val="24"/>
        </w:rPr>
      </w:pPr>
      <w:r>
        <w:rPr>
          <w:rFonts w:hint="eastAsia" w:hAnsi="宋体"/>
          <w:b/>
          <w:bCs/>
          <w:sz w:val="24"/>
        </w:rPr>
        <w:t>二、</w:t>
      </w:r>
      <w:r>
        <w:rPr>
          <w:rFonts w:hint="eastAsia" w:hAnsi="宋体"/>
          <w:sz w:val="24"/>
        </w:rPr>
        <w:t>特检项目要求：</w:t>
      </w:r>
    </w:p>
    <w:p>
      <w:pPr>
        <w:spacing w:line="360" w:lineRule="auto"/>
        <w:ind w:firstLine="480" w:firstLineChars="200"/>
        <w:rPr>
          <w:rFonts w:hAnsi="宋体"/>
          <w:bCs/>
          <w:sz w:val="24"/>
        </w:rPr>
      </w:pPr>
      <w:r>
        <w:rPr>
          <w:rFonts w:hint="eastAsia" w:hAnsi="宋体"/>
          <w:bCs/>
          <w:sz w:val="24"/>
        </w:rPr>
        <w:t>投标人承诺中标后国家审批开展的特殊检验项目必须提供审批文件。</w:t>
      </w:r>
    </w:p>
    <w:p>
      <w:pPr>
        <w:spacing w:line="360" w:lineRule="auto"/>
        <w:ind w:firstLine="480" w:firstLineChars="200"/>
        <w:rPr>
          <w:rFonts w:hAnsi="宋体"/>
          <w:sz w:val="24"/>
        </w:rPr>
      </w:pPr>
      <w:r>
        <w:rPr>
          <w:rFonts w:hint="eastAsia" w:hAnsi="宋体"/>
          <w:sz w:val="24"/>
        </w:rPr>
        <w:t>三、本采购项目确定供应商数量：</w:t>
      </w:r>
    </w:p>
    <w:p>
      <w:pPr>
        <w:spacing w:line="360" w:lineRule="auto"/>
        <w:ind w:firstLine="480" w:firstLineChars="200"/>
        <w:rPr>
          <w:rFonts w:hAnsi="宋体"/>
          <w:sz w:val="24"/>
        </w:rPr>
      </w:pPr>
      <w:r>
        <w:rPr>
          <w:rFonts w:hint="eastAsia" w:hAnsi="宋体"/>
          <w:sz w:val="24"/>
        </w:rPr>
        <w:t>本项目确定供应商数量为</w:t>
      </w:r>
      <w:r>
        <w:rPr>
          <w:rFonts w:hAnsi="宋体"/>
          <w:sz w:val="24"/>
        </w:rPr>
        <w:t>1</w:t>
      </w:r>
      <w:r>
        <w:rPr>
          <w:rFonts w:hint="eastAsia" w:hAnsi="宋体"/>
          <w:sz w:val="24"/>
        </w:rPr>
        <w:t>家，不接受联合投标。</w:t>
      </w:r>
    </w:p>
    <w:p>
      <w:pPr>
        <w:spacing w:line="360" w:lineRule="auto"/>
        <w:ind w:firstLine="480" w:firstLineChars="200"/>
        <w:rPr>
          <w:rFonts w:hAnsi="宋体"/>
          <w:sz w:val="24"/>
        </w:rPr>
      </w:pPr>
      <w:r>
        <w:rPr>
          <w:rFonts w:hint="eastAsia" w:hAnsi="宋体"/>
          <w:sz w:val="24"/>
        </w:rPr>
        <w:t>四、本采购项目服务要求：</w:t>
      </w:r>
    </w:p>
    <w:p>
      <w:pPr>
        <w:spacing w:line="360" w:lineRule="auto"/>
        <w:ind w:firstLine="480" w:firstLineChars="200"/>
        <w:rPr>
          <w:rFonts w:hAnsi="宋体"/>
          <w:sz w:val="24"/>
        </w:rPr>
      </w:pPr>
      <w:r>
        <w:rPr>
          <w:rFonts w:hAnsi="宋体"/>
          <w:sz w:val="24"/>
        </w:rPr>
        <w:t>1</w:t>
      </w:r>
      <w:r>
        <w:rPr>
          <w:rFonts w:hint="eastAsia" w:hAnsi="宋体"/>
          <w:sz w:val="24"/>
        </w:rPr>
        <w:t>、服务范围：潜山市中医院部分检验项目。</w:t>
      </w:r>
    </w:p>
    <w:p>
      <w:pPr>
        <w:spacing w:line="360" w:lineRule="auto"/>
        <w:ind w:firstLine="480" w:firstLineChars="200"/>
        <w:rPr>
          <w:rFonts w:hAnsi="宋体"/>
          <w:bCs/>
          <w:sz w:val="24"/>
        </w:rPr>
      </w:pPr>
      <w:r>
        <w:rPr>
          <w:rFonts w:hAnsi="宋体"/>
          <w:sz w:val="24"/>
        </w:rPr>
        <w:t>2</w:t>
      </w:r>
      <w:r>
        <w:rPr>
          <w:rFonts w:hint="eastAsia" w:hAnsi="宋体"/>
          <w:sz w:val="24"/>
        </w:rPr>
        <w:t>、检验内容：潜山市中医院外送标本检验服务项目共</w:t>
      </w:r>
      <w:r>
        <w:rPr>
          <w:rFonts w:hint="eastAsia" w:hAnsi="宋体"/>
          <w:color w:val="FF0000"/>
          <w:sz w:val="24"/>
        </w:rPr>
        <w:t>76</w:t>
      </w:r>
      <w:r>
        <w:rPr>
          <w:rFonts w:hint="eastAsia" w:hAnsi="宋体"/>
          <w:sz w:val="24"/>
        </w:rPr>
        <w:t>项（包括但不限于），</w:t>
      </w:r>
      <w:r>
        <w:rPr>
          <w:rFonts w:hint="eastAsia" w:hAnsi="宋体"/>
          <w:bCs/>
          <w:sz w:val="24"/>
        </w:rPr>
        <w:t>具体内容见附表（一）。</w:t>
      </w:r>
    </w:p>
    <w:p>
      <w:pPr>
        <w:spacing w:line="360" w:lineRule="auto"/>
        <w:ind w:firstLine="480" w:firstLineChars="200"/>
        <w:rPr>
          <w:rFonts w:hAnsi="宋体"/>
          <w:sz w:val="24"/>
        </w:rPr>
      </w:pPr>
      <w:r>
        <w:rPr>
          <w:rFonts w:hAnsi="宋体"/>
          <w:sz w:val="24"/>
        </w:rPr>
        <w:t>3</w:t>
      </w:r>
      <w:r>
        <w:rPr>
          <w:rFonts w:hint="eastAsia" w:hAnsi="宋体"/>
          <w:sz w:val="24"/>
        </w:rPr>
        <w:t>、服务要求：</w:t>
      </w:r>
    </w:p>
    <w:p>
      <w:pPr>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）服务能效</w:t>
      </w:r>
    </w:p>
    <w:p>
      <w:pPr>
        <w:spacing w:line="360" w:lineRule="auto"/>
        <w:ind w:firstLine="480" w:firstLineChars="200"/>
        <w:rPr>
          <w:rFonts w:hAnsi="宋体"/>
          <w:sz w:val="24"/>
        </w:rPr>
      </w:pPr>
      <w:r>
        <w:rPr>
          <w:rFonts w:hint="eastAsia" w:hAnsi="Wingdings"/>
          <w:sz w:val="24"/>
        </w:rPr>
        <w:sym w:font="Wingdings" w:char="F081"/>
      </w:r>
      <w:r>
        <w:rPr>
          <w:rFonts w:hint="eastAsia" w:hAnsi="宋体"/>
          <w:sz w:val="24"/>
        </w:rPr>
        <w:t>标本接收：每周一至周六免费上门收取标本，</w:t>
      </w:r>
      <w:r>
        <w:rPr>
          <w:rFonts w:hint="eastAsia" w:hAnsi="宋体"/>
          <w:b/>
          <w:sz w:val="24"/>
        </w:rPr>
        <w:t>耗材免费配送</w:t>
      </w:r>
      <w:r>
        <w:rPr>
          <w:rFonts w:hint="eastAsia" w:hAnsi="宋体"/>
          <w:sz w:val="24"/>
        </w:rPr>
        <w:t>，具体相关服务要求必须服从检验科和临床科室的需求。</w:t>
      </w:r>
    </w:p>
    <w:p>
      <w:pPr>
        <w:spacing w:line="360" w:lineRule="auto"/>
        <w:ind w:firstLine="480" w:firstLineChars="200"/>
        <w:rPr>
          <w:rFonts w:hAnsi="宋体"/>
          <w:sz w:val="24"/>
        </w:rPr>
      </w:pPr>
      <w:r>
        <w:rPr>
          <w:rFonts w:hint="eastAsia" w:hAnsi="Wingdings"/>
          <w:sz w:val="24"/>
        </w:rPr>
        <w:sym w:font="Wingdings" w:char="F082"/>
      </w:r>
      <w:r>
        <w:rPr>
          <w:rFonts w:hint="eastAsia" w:hAnsi="宋体"/>
          <w:sz w:val="24"/>
        </w:rPr>
        <w:t>准确率：（导致医疗事故的误差，于合同中约定“视情节轻重予以责罚，或追究刑事责任”投标方出具承诺函）。</w:t>
      </w:r>
    </w:p>
    <w:p>
      <w:pPr>
        <w:spacing w:line="360" w:lineRule="auto"/>
        <w:ind w:firstLine="480" w:firstLineChars="200"/>
        <w:rPr>
          <w:rFonts w:hAnsi="宋体"/>
          <w:sz w:val="24"/>
        </w:rPr>
      </w:pPr>
      <w:r>
        <w:rPr>
          <w:rFonts w:hint="eastAsia" w:hAnsi="宋体"/>
          <w:sz w:val="24"/>
        </w:rPr>
        <w:t>○检验结果差错比：低于万分之一。</w:t>
      </w:r>
    </w:p>
    <w:p>
      <w:pPr>
        <w:spacing w:line="360" w:lineRule="auto"/>
        <w:ind w:firstLine="480" w:firstLineChars="200"/>
        <w:rPr>
          <w:rFonts w:hAnsi="宋体"/>
          <w:sz w:val="24"/>
        </w:rPr>
      </w:pPr>
      <w:r>
        <w:rPr>
          <w:rFonts w:hint="eastAsia" w:hAnsi="宋体"/>
          <w:sz w:val="24"/>
        </w:rPr>
        <w:t>○报告内容与报告结论要吻合。</w:t>
      </w:r>
    </w:p>
    <w:p>
      <w:pPr>
        <w:spacing w:line="360" w:lineRule="auto"/>
        <w:ind w:firstLine="480" w:firstLineChars="200"/>
        <w:rPr>
          <w:rFonts w:hAnsi="宋体"/>
          <w:sz w:val="24"/>
        </w:rPr>
      </w:pPr>
      <w:r>
        <w:rPr>
          <w:rFonts w:hint="eastAsia" w:hAnsi="宋体"/>
          <w:sz w:val="24"/>
        </w:rPr>
        <w:t>○检测标本丢失、运送错误（次数累计</w:t>
      </w:r>
      <w:r>
        <w:rPr>
          <w:rFonts w:hAnsi="宋体"/>
          <w:sz w:val="24"/>
        </w:rPr>
        <w:t>/</w:t>
      </w:r>
      <w:r>
        <w:rPr>
          <w:rFonts w:hint="eastAsia" w:hAnsi="宋体"/>
          <w:sz w:val="24"/>
        </w:rPr>
        <w:t>月</w:t>
      </w:r>
      <w:r>
        <w:rPr>
          <w:rFonts w:hAnsi="宋体"/>
          <w:sz w:val="24"/>
        </w:rPr>
        <w:t>/</w:t>
      </w:r>
      <w:r>
        <w:rPr>
          <w:rFonts w:hint="eastAsia" w:hAnsi="宋体"/>
          <w:sz w:val="24"/>
        </w:rPr>
        <w:t>季度）：季度不能高于千分之一。</w:t>
      </w:r>
    </w:p>
    <w:p>
      <w:pPr>
        <w:spacing w:line="360" w:lineRule="auto"/>
        <w:ind w:firstLine="480" w:firstLineChars="200"/>
        <w:rPr>
          <w:rFonts w:hAnsi="宋体"/>
          <w:sz w:val="24"/>
        </w:rPr>
      </w:pPr>
      <w:r>
        <w:rPr>
          <w:rFonts w:hint="eastAsia" w:hAnsi="宋体"/>
          <w:sz w:val="24"/>
        </w:rPr>
        <w:t>○检测项目要与院方开单项目吻合。</w:t>
      </w:r>
    </w:p>
    <w:p>
      <w:pPr>
        <w:spacing w:line="360" w:lineRule="auto"/>
        <w:ind w:firstLine="480" w:firstLineChars="200"/>
        <w:rPr>
          <w:rFonts w:hAnsi="宋体"/>
          <w:sz w:val="24"/>
        </w:rPr>
      </w:pPr>
      <w:r>
        <w:rPr>
          <w:rFonts w:hint="eastAsia" w:hAnsi="宋体"/>
          <w:sz w:val="24"/>
        </w:rPr>
        <w:t>○运送要求：专线运送，需满足医院标本采集运输要求，保证标本检验前的质量。</w:t>
      </w:r>
    </w:p>
    <w:p>
      <w:pPr>
        <w:spacing w:line="360" w:lineRule="auto"/>
        <w:ind w:firstLine="480" w:firstLineChars="200"/>
        <w:rPr>
          <w:rFonts w:hAnsi="宋体"/>
          <w:sz w:val="24"/>
        </w:rPr>
      </w:pPr>
      <w:r>
        <w:rPr>
          <w:rFonts w:hint="eastAsia" w:hAnsi="宋体"/>
          <w:sz w:val="24"/>
        </w:rPr>
        <w:t>五、项目管理要求：</w:t>
      </w:r>
    </w:p>
    <w:p>
      <w:pPr>
        <w:spacing w:line="360" w:lineRule="auto"/>
        <w:ind w:firstLine="480" w:firstLineChars="200"/>
        <w:rPr>
          <w:rFonts w:hAnsi="宋体"/>
          <w:sz w:val="24"/>
        </w:rPr>
      </w:pPr>
      <w:r>
        <w:rPr>
          <w:rFonts w:hAnsi="宋体"/>
          <w:sz w:val="24"/>
        </w:rPr>
        <w:t>1</w:t>
      </w:r>
      <w:r>
        <w:rPr>
          <w:rFonts w:hint="eastAsia" w:hAnsi="宋体"/>
          <w:sz w:val="24"/>
        </w:rPr>
        <w:t>、投标人中标后须制定符合本项目要求的各项管理服务质量指标，并提交采购人，同时须根据采购人的要求进行适当的修改，接受采购人的监督。</w:t>
      </w:r>
    </w:p>
    <w:p>
      <w:pPr>
        <w:spacing w:line="360" w:lineRule="auto"/>
        <w:ind w:firstLine="480" w:firstLineChars="200"/>
        <w:rPr>
          <w:rFonts w:hAnsi="宋体"/>
          <w:sz w:val="24"/>
        </w:rPr>
      </w:pPr>
      <w:r>
        <w:rPr>
          <w:rFonts w:hAnsi="宋体"/>
          <w:sz w:val="24"/>
        </w:rPr>
        <w:t>2</w:t>
      </w:r>
      <w:r>
        <w:rPr>
          <w:rFonts w:hint="eastAsia" w:hAnsi="宋体"/>
          <w:sz w:val="24"/>
        </w:rPr>
        <w:t>、投标人中标后必须建立相应的管理制度、管理架构，对各项工作流程安排情况及时通知采购人，接受采购人监督。</w:t>
      </w:r>
    </w:p>
    <w:p>
      <w:pPr>
        <w:spacing w:line="360" w:lineRule="auto"/>
        <w:ind w:firstLine="480" w:firstLineChars="200"/>
        <w:rPr>
          <w:rFonts w:hAnsi="宋体"/>
          <w:sz w:val="24"/>
        </w:rPr>
      </w:pPr>
      <w:r>
        <w:rPr>
          <w:rFonts w:hAnsi="宋体"/>
          <w:sz w:val="24"/>
        </w:rPr>
        <w:t>3</w:t>
      </w:r>
      <w:r>
        <w:rPr>
          <w:rFonts w:hint="eastAsia" w:hAnsi="宋体"/>
          <w:sz w:val="24"/>
        </w:rPr>
        <w:t>、投标人中标后须接受采购人的各项监督和检查，对采购人提出的合理意见必须及时作出有效响应。</w:t>
      </w:r>
    </w:p>
    <w:p>
      <w:pPr>
        <w:spacing w:line="360" w:lineRule="auto"/>
        <w:ind w:firstLine="480" w:firstLineChars="200"/>
        <w:rPr>
          <w:rFonts w:hAnsi="宋体"/>
          <w:sz w:val="24"/>
        </w:rPr>
      </w:pPr>
      <w:r>
        <w:rPr>
          <w:rFonts w:hAnsi="宋体"/>
          <w:sz w:val="24"/>
        </w:rPr>
        <w:t>4</w:t>
      </w:r>
      <w:r>
        <w:rPr>
          <w:rFonts w:hint="eastAsia" w:hAnsi="宋体"/>
          <w:sz w:val="24"/>
        </w:rPr>
        <w:t>、投标文件中提供实验室人员名单及人员资质影印件，未提供按无效标处理。</w:t>
      </w:r>
    </w:p>
    <w:p>
      <w:pPr>
        <w:spacing w:line="360" w:lineRule="auto"/>
        <w:ind w:firstLine="480" w:firstLineChars="200"/>
        <w:rPr>
          <w:rFonts w:hAnsi="宋体"/>
          <w:sz w:val="24"/>
        </w:rPr>
      </w:pPr>
      <w:r>
        <w:rPr>
          <w:rFonts w:hAnsi="宋体"/>
          <w:sz w:val="24"/>
        </w:rPr>
        <w:t>5</w:t>
      </w:r>
      <w:r>
        <w:rPr>
          <w:rFonts w:hint="eastAsia" w:hAnsi="宋体"/>
          <w:sz w:val="24"/>
        </w:rPr>
        <w:t>、投标文件中提供检验设备目录清单，未提供按无效标处理。</w:t>
      </w:r>
    </w:p>
    <w:p>
      <w:pPr>
        <w:spacing w:line="360" w:lineRule="auto"/>
        <w:ind w:firstLine="480" w:firstLineChars="200"/>
        <w:rPr>
          <w:rFonts w:hAnsi="宋体"/>
          <w:sz w:val="24"/>
        </w:rPr>
      </w:pPr>
      <w:r>
        <w:rPr>
          <w:rFonts w:hAnsi="宋体"/>
          <w:sz w:val="24"/>
        </w:rPr>
        <w:t>6</w:t>
      </w:r>
      <w:r>
        <w:rPr>
          <w:rFonts w:hint="eastAsia" w:hAnsi="宋体"/>
          <w:sz w:val="24"/>
        </w:rPr>
        <w:t>、本项目服务期间所产生的其他费用由中标人承担。</w:t>
      </w:r>
    </w:p>
    <w:p>
      <w:pPr>
        <w:spacing w:line="360" w:lineRule="auto"/>
        <w:ind w:firstLine="480" w:firstLineChars="200"/>
        <w:rPr>
          <w:rFonts w:hAnsi="宋体"/>
          <w:sz w:val="24"/>
        </w:rPr>
      </w:pPr>
      <w:r>
        <w:rPr>
          <w:rFonts w:hint="eastAsia" w:hAnsi="宋体"/>
          <w:sz w:val="24"/>
        </w:rPr>
        <w:t>六、其他要求：</w:t>
      </w:r>
    </w:p>
    <w:p>
      <w:pPr>
        <w:spacing w:line="360" w:lineRule="auto"/>
        <w:ind w:firstLine="480" w:firstLineChars="200"/>
        <w:rPr>
          <w:rFonts w:hAnsi="宋体"/>
          <w:sz w:val="24"/>
        </w:rPr>
      </w:pPr>
      <w:r>
        <w:rPr>
          <w:rFonts w:hAnsi="宋体"/>
          <w:sz w:val="24"/>
        </w:rPr>
        <w:t>1</w:t>
      </w:r>
      <w:r>
        <w:rPr>
          <w:rFonts w:hint="eastAsia" w:hAnsi="宋体"/>
          <w:sz w:val="24"/>
        </w:rPr>
        <w:t>、提供每年</w:t>
      </w:r>
      <w:r>
        <w:rPr>
          <w:rFonts w:hAnsi="宋体"/>
          <w:sz w:val="24"/>
        </w:rPr>
        <w:t>2—4</w:t>
      </w:r>
      <w:r>
        <w:rPr>
          <w:rFonts w:hint="eastAsia" w:hAnsi="宋体"/>
          <w:sz w:val="24"/>
        </w:rPr>
        <w:t>名检验人员到公司短期免费业务交流（含差旅、住宿），提供最新版的外检项目标本采集和运送手册及诊断项目总汇手册。</w:t>
      </w:r>
    </w:p>
    <w:p>
      <w:pPr>
        <w:pStyle w:val="11"/>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、投标人承诺中标后，履行合同过程中以所给最新版诊断项目总汇手册及标本采集手册内容为准。</w:t>
      </w:r>
    </w:p>
    <w:p>
      <w:pPr>
        <w:spacing w:line="360" w:lineRule="auto"/>
        <w:ind w:firstLine="480" w:firstLineChars="200"/>
        <w:rPr>
          <w:rFonts w:hAnsi="宋体"/>
          <w:sz w:val="24"/>
        </w:rPr>
      </w:pPr>
      <w:r>
        <w:rPr>
          <w:rFonts w:hAnsi="宋体"/>
          <w:sz w:val="24"/>
        </w:rPr>
        <w:t>*3</w:t>
      </w:r>
      <w:r>
        <w:rPr>
          <w:rFonts w:hint="eastAsia" w:hAnsi="宋体"/>
          <w:sz w:val="24"/>
        </w:rPr>
        <w:t>、每年须提供合作项目的质量保证文件（质量管理体系完善，有标本分析前质量控制程序</w:t>
      </w:r>
      <w:r>
        <w:rPr>
          <w:rFonts w:hAnsi="宋体"/>
          <w:sz w:val="24"/>
        </w:rPr>
        <w:t>—</w:t>
      </w:r>
      <w:r>
        <w:rPr>
          <w:rFonts w:hint="eastAsia" w:hAnsi="宋体"/>
          <w:sz w:val="24"/>
        </w:rPr>
        <w:t>标本运送流转质量保证、室内质控、室间质评、仪器比对及性能验证评价），保证外送检验项目的准确性。</w:t>
      </w:r>
    </w:p>
    <w:p>
      <w:pPr>
        <w:spacing w:line="360" w:lineRule="auto"/>
        <w:ind w:firstLine="480" w:firstLineChars="200"/>
        <w:rPr>
          <w:rFonts w:hAnsi="宋体"/>
          <w:sz w:val="24"/>
        </w:rPr>
      </w:pPr>
      <w:r>
        <w:rPr>
          <w:rFonts w:hAnsi="宋体"/>
          <w:sz w:val="24"/>
        </w:rPr>
        <w:t>*4</w:t>
      </w:r>
      <w:r>
        <w:rPr>
          <w:rFonts w:hint="eastAsia" w:hAnsi="宋体"/>
          <w:sz w:val="24"/>
        </w:rPr>
        <w:t>、在检验科建立信息化连接报告查询工作站，与医院</w:t>
      </w:r>
      <w:r>
        <w:rPr>
          <w:rFonts w:hAnsi="宋体"/>
          <w:sz w:val="24"/>
        </w:rPr>
        <w:t>LIS</w:t>
      </w:r>
      <w:r>
        <w:rPr>
          <w:rFonts w:hint="eastAsia" w:hAnsi="宋体"/>
          <w:sz w:val="24"/>
        </w:rPr>
        <w:t>系统连接（免费提供电脑、打印机），连接过程中产生的接口费用由中标人支付，中标后提供咨询服务联系电话。</w:t>
      </w:r>
    </w:p>
    <w:p>
      <w:pPr>
        <w:spacing w:line="360" w:lineRule="auto"/>
        <w:ind w:firstLine="480" w:firstLineChars="200"/>
        <w:rPr>
          <w:rFonts w:hAnsi="宋体"/>
          <w:sz w:val="24"/>
        </w:rPr>
      </w:pPr>
      <w:r>
        <w:rPr>
          <w:rFonts w:hint="eastAsia" w:hAnsi="宋体"/>
          <w:sz w:val="24"/>
        </w:rPr>
        <w:t>*5、投标人承诺中标后，履行投标方需求的检测方法学，如若不符合将承担上级相关部门检查予以的处罚。</w:t>
      </w:r>
    </w:p>
    <w:p>
      <w:pPr>
        <w:spacing w:line="360" w:lineRule="auto"/>
        <w:ind w:firstLine="480" w:firstLineChars="200"/>
        <w:rPr>
          <w:rFonts w:hAnsi="宋体"/>
          <w:sz w:val="24"/>
        </w:rPr>
      </w:pPr>
      <w:r>
        <w:rPr>
          <w:rFonts w:hint="eastAsia" w:hAnsi="宋体"/>
          <w:sz w:val="24"/>
        </w:rPr>
        <w:t>七、报价要求：</w:t>
      </w:r>
    </w:p>
    <w:p>
      <w:pPr>
        <w:spacing w:line="360" w:lineRule="auto"/>
        <w:ind w:firstLine="480" w:firstLineChars="200"/>
        <w:rPr>
          <w:rFonts w:hAnsi="宋体"/>
          <w:sz w:val="24"/>
        </w:rPr>
      </w:pPr>
      <w:r>
        <w:rPr>
          <w:rFonts w:hAnsi="宋体"/>
          <w:sz w:val="24"/>
        </w:rPr>
        <w:t>1</w:t>
      </w:r>
      <w:r>
        <w:rPr>
          <w:rFonts w:hint="eastAsia" w:hAnsi="宋体"/>
          <w:sz w:val="24"/>
        </w:rPr>
        <w:t>、报价以省物价为依据，工作量参照</w:t>
      </w:r>
      <w:r>
        <w:rPr>
          <w:rFonts w:hint="eastAsia" w:hAnsi="宋体"/>
          <w:color w:val="FF0000"/>
          <w:sz w:val="24"/>
        </w:rPr>
        <w:t>2022</w:t>
      </w:r>
      <w:r>
        <w:rPr>
          <w:rFonts w:hint="eastAsia" w:hAnsi="宋体"/>
          <w:sz w:val="24"/>
        </w:rPr>
        <w:t>年招标人主要外送项目</w:t>
      </w:r>
      <w:r>
        <w:rPr>
          <w:rFonts w:hint="eastAsia" w:hAnsi="宋体"/>
          <w:sz w:val="24"/>
          <w:szCs w:val="20"/>
        </w:rPr>
        <w:t>及报价表</w:t>
      </w:r>
      <w:r>
        <w:rPr>
          <w:rFonts w:hint="eastAsia" w:hAnsi="宋体"/>
          <w:sz w:val="24"/>
        </w:rPr>
        <w:t>，</w:t>
      </w:r>
      <w:r>
        <w:rPr>
          <w:rFonts w:hint="eastAsia" w:hAnsi="宋体"/>
          <w:b/>
          <w:sz w:val="24"/>
        </w:rPr>
        <w:t>以实际检测内容为准</w:t>
      </w:r>
      <w:r>
        <w:rPr>
          <w:rFonts w:hint="eastAsia" w:hAnsi="宋体"/>
          <w:sz w:val="24"/>
        </w:rPr>
        <w:t>，请各潜在投标单位综合考虑，慎重报价。涉及自主定价（即省物价没有的价格，中标后经双方共同协商参照外院，报上级相关部门批准的项目价格）的。</w:t>
      </w:r>
    </w:p>
    <w:p>
      <w:pPr>
        <w:spacing w:line="360" w:lineRule="auto"/>
        <w:ind w:firstLine="480" w:firstLineChars="200"/>
        <w:rPr>
          <w:rFonts w:hAnsi="宋体"/>
          <w:sz w:val="24"/>
        </w:rPr>
      </w:pPr>
      <w:r>
        <w:rPr>
          <w:rFonts w:hAnsi="宋体"/>
          <w:sz w:val="24"/>
        </w:rPr>
        <w:t>2</w:t>
      </w:r>
      <w:r>
        <w:rPr>
          <w:rFonts w:hint="eastAsia" w:hAnsi="宋体"/>
          <w:sz w:val="24"/>
        </w:rPr>
        <w:t>、所报的价格已包括本服务项目相关的所有成本、费用、相关税费和合理利润</w:t>
      </w:r>
      <w:r>
        <w:rPr>
          <w:rFonts w:hint="eastAsia"/>
          <w:sz w:val="24"/>
        </w:rPr>
        <w:t>、招标代理服务费等其他各项与之有关所有费用</w:t>
      </w:r>
      <w:r>
        <w:rPr>
          <w:rFonts w:hint="eastAsia" w:hAnsi="宋体"/>
          <w:sz w:val="24"/>
        </w:rPr>
        <w:t>。</w:t>
      </w:r>
    </w:p>
    <w:p>
      <w:pPr>
        <w:spacing w:line="360" w:lineRule="auto"/>
        <w:ind w:firstLine="480" w:firstLineChars="200"/>
        <w:rPr>
          <w:rFonts w:hAnsi="宋体"/>
          <w:sz w:val="24"/>
        </w:rPr>
      </w:pPr>
      <w:r>
        <w:rPr>
          <w:rFonts w:hAnsi="宋体"/>
          <w:sz w:val="24"/>
        </w:rPr>
        <w:t>3</w:t>
      </w:r>
      <w:r>
        <w:rPr>
          <w:rFonts w:hint="eastAsia" w:hAnsi="宋体"/>
          <w:sz w:val="24"/>
        </w:rPr>
        <w:t>、投标人一旦在本项目中获得中标资格，在投标时所报的价格于本项目服务期内不作变更。</w:t>
      </w:r>
    </w:p>
    <w:p>
      <w:pPr>
        <w:spacing w:line="360" w:lineRule="auto"/>
        <w:ind w:firstLine="480" w:firstLineChars="200"/>
        <w:rPr>
          <w:rFonts w:hAnsi="宋体"/>
          <w:sz w:val="24"/>
        </w:rPr>
      </w:pPr>
      <w:r>
        <w:rPr>
          <w:rFonts w:hint="eastAsia" w:hAnsi="宋体"/>
          <w:sz w:val="24"/>
        </w:rPr>
        <w:t>4、投标报价形式为费率报价，费率最高限价为</w:t>
      </w:r>
      <w:r>
        <w:rPr>
          <w:rFonts w:hint="eastAsia" w:hAnsi="宋体"/>
          <w:color w:val="FF0000"/>
          <w:sz w:val="24"/>
        </w:rPr>
        <w:t>23</w:t>
      </w:r>
      <w:r>
        <w:rPr>
          <w:rFonts w:hAnsi="宋体"/>
          <w:color w:val="FF0000"/>
          <w:sz w:val="24"/>
        </w:rPr>
        <w:t>%</w:t>
      </w:r>
      <w:r>
        <w:rPr>
          <w:rFonts w:hint="eastAsia" w:hAnsi="宋体"/>
          <w:sz w:val="24"/>
        </w:rPr>
        <w:t>，以安庆市医疗保障局、安庆市卫生健康委员会印发</w:t>
      </w:r>
      <w:r>
        <w:rPr>
          <w:rFonts w:hint="eastAsia" w:hAnsi="宋体"/>
          <w:color w:val="FF0000"/>
          <w:sz w:val="24"/>
        </w:rPr>
        <w:t>《安庆市医疗服务价格目录》(</w:t>
      </w:r>
      <w:r>
        <w:rPr>
          <w:rFonts w:hAnsi="宋体"/>
          <w:color w:val="FF0000"/>
          <w:sz w:val="24"/>
        </w:rPr>
        <w:t>20</w:t>
      </w:r>
      <w:r>
        <w:rPr>
          <w:rFonts w:hint="eastAsia" w:hAnsi="宋体"/>
          <w:color w:val="FF0000"/>
          <w:sz w:val="24"/>
        </w:rPr>
        <w:t>22年版)（宜医保办【2022】7号）</w:t>
      </w:r>
      <w:r>
        <w:rPr>
          <w:rFonts w:hint="eastAsia" w:hAnsi="宋体"/>
          <w:sz w:val="24"/>
        </w:rPr>
        <w:t>中的列明收费标准为计算基数。投标人实际检验费用</w:t>
      </w:r>
      <w:r>
        <w:rPr>
          <w:rFonts w:hAnsi="宋体"/>
          <w:sz w:val="24"/>
        </w:rPr>
        <w:t>=</w:t>
      </w:r>
      <w:r>
        <w:rPr>
          <w:rFonts w:hint="eastAsia" w:hAnsi="宋体"/>
          <w:sz w:val="24"/>
        </w:rPr>
        <w:t>计算基数×费率（折扣率）。（涉及自主定价的，所协商的自主定价为基数）。</w:t>
      </w:r>
    </w:p>
    <w:p>
      <w:pPr>
        <w:spacing w:line="360" w:lineRule="auto"/>
        <w:ind w:firstLine="480" w:firstLineChars="200"/>
        <w:rPr>
          <w:rFonts w:hAnsi="宋体"/>
          <w:sz w:val="24"/>
        </w:rPr>
      </w:pPr>
      <w:r>
        <w:rPr>
          <w:rFonts w:hint="eastAsia" w:hAnsi="宋体"/>
          <w:sz w:val="24"/>
        </w:rPr>
        <w:t>5、省物价标准请投标人自行前往安徽省物价局网站查询。</w:t>
      </w:r>
    </w:p>
    <w:p>
      <w:pPr>
        <w:spacing w:line="360" w:lineRule="auto"/>
        <w:rPr>
          <w:rFonts w:hAnsi="宋体"/>
          <w:bCs/>
          <w:sz w:val="24"/>
        </w:rPr>
      </w:pPr>
    </w:p>
    <w:p>
      <w:pPr>
        <w:pStyle w:val="44"/>
      </w:pPr>
    </w:p>
    <w:p>
      <w:pPr>
        <w:spacing w:line="360" w:lineRule="auto"/>
        <w:rPr>
          <w:rFonts w:hAnsi="宋体"/>
          <w:sz w:val="24"/>
          <w:szCs w:val="20"/>
        </w:rPr>
      </w:pPr>
      <w:r>
        <w:rPr>
          <w:rFonts w:hint="eastAsia" w:hAnsi="宋体"/>
          <w:bCs/>
          <w:sz w:val="24"/>
        </w:rPr>
        <w:t>附表（一）</w:t>
      </w:r>
      <w:r>
        <w:rPr>
          <w:rFonts w:hAnsi="宋体"/>
          <w:color w:val="FF0000"/>
          <w:sz w:val="24"/>
          <w:szCs w:val="20"/>
        </w:rPr>
        <w:t>20</w:t>
      </w:r>
      <w:r>
        <w:rPr>
          <w:rFonts w:hint="eastAsia" w:hAnsi="宋体"/>
          <w:color w:val="FF0000"/>
          <w:sz w:val="24"/>
          <w:szCs w:val="20"/>
        </w:rPr>
        <w:t>22</w:t>
      </w:r>
      <w:r>
        <w:rPr>
          <w:rFonts w:hint="eastAsia" w:hAnsi="宋体"/>
          <w:sz w:val="24"/>
          <w:szCs w:val="20"/>
        </w:rPr>
        <w:t>年招标人主要外送项目及收费标准</w:t>
      </w:r>
    </w:p>
    <w:tbl>
      <w:tblPr>
        <w:tblStyle w:val="27"/>
        <w:tblW w:w="9749"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160"/>
        <w:gridCol w:w="2878"/>
        <w:gridCol w:w="180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rPr>
                <w:rFonts w:hAnsi="宋体"/>
                <w:szCs w:val="21"/>
              </w:rPr>
            </w:pPr>
            <w:r>
              <w:rPr>
                <w:rFonts w:hint="eastAsia" w:hAnsi="宋体"/>
                <w:szCs w:val="21"/>
              </w:rPr>
              <w:t>序号</w:t>
            </w:r>
          </w:p>
        </w:tc>
        <w:tc>
          <w:tcPr>
            <w:tcW w:w="3160" w:type="dxa"/>
            <w:noWrap/>
            <w:vAlign w:val="center"/>
          </w:tcPr>
          <w:p>
            <w:pPr>
              <w:widowControl/>
              <w:jc w:val="center"/>
              <w:rPr>
                <w:rFonts w:hAnsi="宋体"/>
                <w:szCs w:val="21"/>
              </w:rPr>
            </w:pPr>
            <w:r>
              <w:rPr>
                <w:rFonts w:hint="eastAsia" w:hAnsi="宋体"/>
                <w:szCs w:val="21"/>
              </w:rPr>
              <w:t>项目名称</w:t>
            </w:r>
          </w:p>
        </w:tc>
        <w:tc>
          <w:tcPr>
            <w:tcW w:w="2878" w:type="dxa"/>
          </w:tcPr>
          <w:p>
            <w:pPr>
              <w:pStyle w:val="45"/>
              <w:spacing w:before="156"/>
              <w:ind w:left="0" w:leftChars="0" w:firstLine="0" w:firstLineChars="0"/>
            </w:pPr>
          </w:p>
          <w:p>
            <w:pPr>
              <w:jc w:val="center"/>
              <w:rPr>
                <w:rFonts w:hAnsi="宋体"/>
                <w:bCs/>
                <w:szCs w:val="21"/>
              </w:rPr>
            </w:pPr>
            <w:r>
              <w:rPr>
                <w:rFonts w:hint="eastAsia"/>
                <w:bCs/>
                <w:szCs w:val="21"/>
              </w:rPr>
              <w:t>出报告单时间</w:t>
            </w:r>
          </w:p>
        </w:tc>
        <w:tc>
          <w:tcPr>
            <w:tcW w:w="1800" w:type="dxa"/>
            <w:noWrap/>
            <w:vAlign w:val="center"/>
          </w:tcPr>
          <w:p>
            <w:pPr>
              <w:rPr>
                <w:rFonts w:hAnsi="宋体"/>
                <w:sz w:val="24"/>
              </w:rPr>
            </w:pPr>
            <w:r>
              <w:rPr>
                <w:rFonts w:hint="eastAsia"/>
              </w:rPr>
              <w:t>标本类型</w:t>
            </w:r>
          </w:p>
        </w:tc>
        <w:tc>
          <w:tcPr>
            <w:tcW w:w="1275" w:type="dxa"/>
            <w:noWrap/>
            <w:vAlign w:val="center"/>
          </w:tcPr>
          <w:p>
            <w:pPr>
              <w:widowControl/>
              <w:jc w:val="center"/>
              <w:rPr>
                <w:rFonts w:hAnsi="宋体"/>
                <w:szCs w:val="21"/>
              </w:rPr>
            </w:pPr>
            <w:r>
              <w:rPr>
                <w:rFonts w:hint="eastAsia" w:hAnsi="宋体"/>
                <w:szCs w:val="21"/>
              </w:rPr>
              <w:t>单项控制价（元）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w:t>
            </w:r>
          </w:p>
        </w:tc>
        <w:tc>
          <w:tcPr>
            <w:tcW w:w="3160" w:type="dxa"/>
            <w:noWrap/>
          </w:tcPr>
          <w:p>
            <w:pPr>
              <w:rPr>
                <w:rFonts w:hAnsi="宋体"/>
                <w:szCs w:val="21"/>
              </w:rPr>
            </w:pPr>
            <w:r>
              <w:rPr>
                <w:rFonts w:hint="eastAsia"/>
                <w:szCs w:val="21"/>
              </w:rPr>
              <w:t>25羟基维生素</w:t>
            </w:r>
            <w:r>
              <w:rPr>
                <w:szCs w:val="21"/>
              </w:rPr>
              <w:t>D</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w:t>
            </w:r>
          </w:p>
        </w:tc>
        <w:tc>
          <w:tcPr>
            <w:tcW w:w="3160" w:type="dxa"/>
            <w:noWrap/>
          </w:tcPr>
          <w:p>
            <w:pPr>
              <w:rPr>
                <w:rFonts w:hAnsi="宋体"/>
                <w:szCs w:val="21"/>
              </w:rPr>
            </w:pPr>
            <w:r>
              <w:rPr>
                <w:rFonts w:hint="eastAsia"/>
                <w:szCs w:val="21"/>
              </w:rPr>
              <w:t>D-二聚体定量</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枸橼酸钠抗凝全血</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w:t>
            </w:r>
          </w:p>
        </w:tc>
        <w:tc>
          <w:tcPr>
            <w:tcW w:w="3160" w:type="dxa"/>
            <w:noWrap/>
          </w:tcPr>
          <w:p>
            <w:pPr>
              <w:rPr>
                <w:rFonts w:hAnsi="宋体"/>
                <w:szCs w:val="21"/>
              </w:rPr>
            </w:pPr>
            <w:r>
              <w:rPr>
                <w:rFonts w:hint="eastAsia"/>
                <w:szCs w:val="21"/>
              </w:rPr>
              <w:t>丙肝</w:t>
            </w:r>
            <w:r>
              <w:rPr>
                <w:szCs w:val="21"/>
              </w:rPr>
              <w:t>HCV-RNA</w:t>
            </w:r>
            <w:r>
              <w:rPr>
                <w:rFonts w:hint="eastAsia"/>
                <w:szCs w:val="21"/>
              </w:rPr>
              <w:t>定量</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w:t>
            </w:r>
          </w:p>
        </w:tc>
        <w:tc>
          <w:tcPr>
            <w:tcW w:w="3160" w:type="dxa"/>
            <w:noWrap/>
          </w:tcPr>
          <w:p>
            <w:pPr>
              <w:rPr>
                <w:rFonts w:hAnsi="宋体"/>
                <w:szCs w:val="21"/>
              </w:rPr>
            </w:pPr>
            <w:r>
              <w:rPr>
                <w:rFonts w:hint="eastAsia"/>
                <w:szCs w:val="21"/>
              </w:rPr>
              <w:t>丙型肝炎抗体两项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w:t>
            </w:r>
          </w:p>
        </w:tc>
        <w:tc>
          <w:tcPr>
            <w:tcW w:w="3160" w:type="dxa"/>
            <w:noWrap/>
          </w:tcPr>
          <w:p>
            <w:pPr>
              <w:rPr>
                <w:rFonts w:hAnsi="宋体"/>
                <w:szCs w:val="21"/>
              </w:rPr>
            </w:pPr>
            <w:r>
              <w:rPr>
                <w:rFonts w:hint="eastAsia"/>
                <w:szCs w:val="21"/>
              </w:rPr>
              <w:t>促甲状腺素受体抗体TR-Ab</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w:t>
            </w:r>
          </w:p>
        </w:tc>
        <w:tc>
          <w:tcPr>
            <w:tcW w:w="3160" w:type="dxa"/>
            <w:noWrap/>
          </w:tcPr>
          <w:p>
            <w:pPr>
              <w:rPr>
                <w:rFonts w:hAnsi="宋体"/>
                <w:szCs w:val="21"/>
              </w:rPr>
            </w:pPr>
            <w:r>
              <w:rPr>
                <w:rFonts w:hint="eastAsia"/>
                <w:szCs w:val="21"/>
              </w:rPr>
              <w:t>促肾上腺皮质激素</w:t>
            </w:r>
            <w:r>
              <w:rPr>
                <w:szCs w:val="21"/>
              </w:rPr>
              <w:t>ACTH</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w:t>
            </w:r>
          </w:p>
        </w:tc>
        <w:tc>
          <w:tcPr>
            <w:tcW w:w="3160" w:type="dxa"/>
            <w:noWrap/>
          </w:tcPr>
          <w:p>
            <w:pPr>
              <w:rPr>
                <w:rFonts w:hAnsi="宋体"/>
                <w:szCs w:val="21"/>
              </w:rPr>
            </w:pPr>
            <w:r>
              <w:rPr>
                <w:rFonts w:hint="eastAsia"/>
                <w:szCs w:val="21"/>
              </w:rPr>
              <w:t>丁型肝炎抗体两项（</w:t>
            </w:r>
            <w:r>
              <w:rPr>
                <w:szCs w:val="21"/>
              </w:rPr>
              <w:t>HDV-IgMIgG</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8</w:t>
            </w:r>
          </w:p>
        </w:tc>
        <w:tc>
          <w:tcPr>
            <w:tcW w:w="3160" w:type="dxa"/>
            <w:noWrap/>
          </w:tcPr>
          <w:p>
            <w:pPr>
              <w:rPr>
                <w:rFonts w:hAnsi="宋体"/>
                <w:szCs w:val="21"/>
              </w:rPr>
            </w:pPr>
            <w:r>
              <w:rPr>
                <w:rFonts w:hint="eastAsia"/>
                <w:szCs w:val="21"/>
              </w:rPr>
              <w:t>肥达氏试验</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9</w:t>
            </w:r>
          </w:p>
        </w:tc>
        <w:tc>
          <w:tcPr>
            <w:tcW w:w="3160" w:type="dxa"/>
            <w:noWrap/>
          </w:tcPr>
          <w:p>
            <w:pPr>
              <w:rPr>
                <w:rFonts w:hAnsi="宋体"/>
                <w:szCs w:val="21"/>
              </w:rPr>
            </w:pPr>
            <w:r>
              <w:rPr>
                <w:rFonts w:hint="eastAsia"/>
                <w:szCs w:val="21"/>
              </w:rPr>
              <w:t>肺癌三项（</w:t>
            </w:r>
            <w:r>
              <w:rPr>
                <w:szCs w:val="21"/>
              </w:rPr>
              <w:t>NSECF21-1CA50</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10</w:t>
            </w:r>
          </w:p>
        </w:tc>
        <w:tc>
          <w:tcPr>
            <w:tcW w:w="3160" w:type="dxa"/>
            <w:noWrap/>
          </w:tcPr>
          <w:p>
            <w:pPr>
              <w:rPr>
                <w:rFonts w:hAnsi="宋体"/>
                <w:szCs w:val="21"/>
              </w:rPr>
            </w:pPr>
            <w:r>
              <w:rPr>
                <w:rFonts w:hint="eastAsia"/>
                <w:szCs w:val="21"/>
              </w:rPr>
              <w:t>肺炎四项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11</w:t>
            </w:r>
          </w:p>
        </w:tc>
        <w:tc>
          <w:tcPr>
            <w:tcW w:w="3160" w:type="dxa"/>
            <w:noWrap/>
          </w:tcPr>
          <w:p>
            <w:pPr>
              <w:rPr>
                <w:rFonts w:hAnsi="宋体"/>
                <w:szCs w:val="21"/>
              </w:rPr>
            </w:pPr>
            <w:r>
              <w:rPr>
                <w:rFonts w:hint="eastAsia"/>
                <w:szCs w:val="21"/>
              </w:rPr>
              <w:t>风湿四项（ANA.ENA.CCP.AKA)</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12</w:t>
            </w:r>
          </w:p>
        </w:tc>
        <w:tc>
          <w:tcPr>
            <w:tcW w:w="3160" w:type="dxa"/>
            <w:noWrap/>
          </w:tcPr>
          <w:p>
            <w:pPr>
              <w:rPr>
                <w:rFonts w:hAnsi="宋体"/>
                <w:szCs w:val="21"/>
              </w:rPr>
            </w:pPr>
            <w:r>
              <w:rPr>
                <w:rFonts w:hint="eastAsia"/>
                <w:szCs w:val="21"/>
              </w:rPr>
              <w:t>肝纤四项（HA,LN,IV-C,PC-III)</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13</w:t>
            </w:r>
          </w:p>
        </w:tc>
        <w:tc>
          <w:tcPr>
            <w:tcW w:w="3160" w:type="dxa"/>
            <w:noWrap/>
          </w:tcPr>
          <w:p>
            <w:pPr>
              <w:rPr>
                <w:rFonts w:hAnsi="宋体"/>
                <w:szCs w:val="21"/>
              </w:rPr>
            </w:pPr>
            <w:r>
              <w:rPr>
                <w:rFonts w:hint="eastAsia"/>
                <w:szCs w:val="21"/>
              </w:rPr>
              <w:t>肝炎抗体五项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14</w:t>
            </w:r>
          </w:p>
        </w:tc>
        <w:tc>
          <w:tcPr>
            <w:tcW w:w="3160" w:type="dxa"/>
            <w:noWrap/>
          </w:tcPr>
          <w:p>
            <w:pPr>
              <w:rPr>
                <w:rFonts w:hAnsi="宋体"/>
                <w:szCs w:val="21"/>
              </w:rPr>
            </w:pPr>
            <w:r>
              <w:rPr>
                <w:rFonts w:hint="eastAsia"/>
                <w:szCs w:val="21"/>
              </w:rPr>
              <w:t>高血压四项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15</w:t>
            </w:r>
          </w:p>
        </w:tc>
        <w:tc>
          <w:tcPr>
            <w:tcW w:w="3160" w:type="dxa"/>
            <w:noWrap/>
          </w:tcPr>
          <w:p>
            <w:pPr>
              <w:rPr>
                <w:rFonts w:hAnsi="宋体"/>
                <w:szCs w:val="21"/>
              </w:rPr>
            </w:pPr>
            <w:r>
              <w:rPr>
                <w:rFonts w:hint="eastAsia"/>
                <w:szCs w:val="21"/>
              </w:rPr>
              <w:t>庚型肝炎病毒抗体（</w:t>
            </w:r>
            <w:r>
              <w:rPr>
                <w:szCs w:val="21"/>
              </w:rPr>
              <w:t>HGV-IgG</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16</w:t>
            </w:r>
          </w:p>
        </w:tc>
        <w:tc>
          <w:tcPr>
            <w:tcW w:w="3160" w:type="dxa"/>
            <w:noWrap/>
          </w:tcPr>
          <w:p>
            <w:pPr>
              <w:rPr>
                <w:rFonts w:hAnsi="宋体"/>
                <w:szCs w:val="21"/>
              </w:rPr>
            </w:pPr>
            <w:r>
              <w:rPr>
                <w:rFonts w:hint="eastAsia"/>
                <w:szCs w:val="21"/>
              </w:rPr>
              <w:t>骨髓涂片</w:t>
            </w:r>
          </w:p>
        </w:tc>
        <w:tc>
          <w:tcPr>
            <w:tcW w:w="2878" w:type="dxa"/>
          </w:tcPr>
          <w:p>
            <w:pPr>
              <w:rPr>
                <w:rFonts w:hAnsi="宋体"/>
                <w:szCs w:val="21"/>
              </w:rPr>
            </w:pPr>
            <w:r>
              <w:rPr>
                <w:rFonts w:hint="eastAsia"/>
                <w:szCs w:val="21"/>
              </w:rPr>
              <w:t>3-5个工作日</w:t>
            </w:r>
          </w:p>
        </w:tc>
        <w:tc>
          <w:tcPr>
            <w:tcW w:w="1800" w:type="dxa"/>
            <w:noWrap/>
            <w:vAlign w:val="center"/>
          </w:tcPr>
          <w:p>
            <w:pPr>
              <w:rPr>
                <w:rFonts w:hAnsi="宋体"/>
                <w:sz w:val="24"/>
              </w:rPr>
            </w:pPr>
            <w:r>
              <w:rPr>
                <w:rFonts w:hint="eastAsia"/>
              </w:rPr>
              <w:t>血片、骨髓片</w:t>
            </w:r>
          </w:p>
        </w:tc>
        <w:tc>
          <w:tcPr>
            <w:tcW w:w="1275" w:type="dxa"/>
            <w:noWrap/>
            <w:vAlign w:val="center"/>
          </w:tcPr>
          <w:p>
            <w:pPr>
              <w:jc w:val="right"/>
              <w:rPr>
                <w:rFonts w:hAnsi="宋体"/>
                <w:sz w:val="24"/>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17</w:t>
            </w:r>
          </w:p>
        </w:tc>
        <w:tc>
          <w:tcPr>
            <w:tcW w:w="3160" w:type="dxa"/>
            <w:noWrap/>
          </w:tcPr>
          <w:p>
            <w:pPr>
              <w:rPr>
                <w:rFonts w:hAnsi="宋体"/>
                <w:szCs w:val="21"/>
              </w:rPr>
            </w:pPr>
            <w:r>
              <w:rPr>
                <w:rFonts w:hint="eastAsia"/>
                <w:szCs w:val="21"/>
              </w:rPr>
              <w:t>呼吸道病毒抗体谱九项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18</w:t>
            </w:r>
          </w:p>
        </w:tc>
        <w:tc>
          <w:tcPr>
            <w:tcW w:w="3160" w:type="dxa"/>
            <w:noWrap/>
          </w:tcPr>
          <w:p>
            <w:pPr>
              <w:rPr>
                <w:rFonts w:hAnsi="宋体"/>
                <w:szCs w:val="21"/>
              </w:rPr>
            </w:pPr>
            <w:r>
              <w:rPr>
                <w:rFonts w:hint="eastAsia"/>
                <w:szCs w:val="21"/>
              </w:rPr>
              <w:t>甲型肝炎病毒抗体</w:t>
            </w:r>
            <w:r>
              <w:rPr>
                <w:szCs w:val="21"/>
              </w:rPr>
              <w:t>IgM</w:t>
            </w:r>
            <w:r>
              <w:rPr>
                <w:rFonts w:hint="eastAsia"/>
                <w:szCs w:val="21"/>
              </w:rPr>
              <w:t>（</w:t>
            </w:r>
            <w:r>
              <w:rPr>
                <w:szCs w:val="21"/>
              </w:rPr>
              <w:t>HAV-IgM</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19</w:t>
            </w:r>
          </w:p>
        </w:tc>
        <w:tc>
          <w:tcPr>
            <w:tcW w:w="3160" w:type="dxa"/>
            <w:noWrap/>
          </w:tcPr>
          <w:p>
            <w:pPr>
              <w:rPr>
                <w:rFonts w:hAnsi="宋体"/>
                <w:szCs w:val="21"/>
              </w:rPr>
            </w:pPr>
            <w:r>
              <w:rPr>
                <w:rFonts w:hint="eastAsia"/>
                <w:szCs w:val="21"/>
              </w:rPr>
              <w:t>甲型肝炎病毒抗体两项（</w:t>
            </w:r>
            <w:r>
              <w:rPr>
                <w:szCs w:val="21"/>
              </w:rPr>
              <w:t>HAV-IgMIgG</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20</w:t>
            </w:r>
          </w:p>
        </w:tc>
        <w:tc>
          <w:tcPr>
            <w:tcW w:w="3160" w:type="dxa"/>
            <w:noWrap/>
          </w:tcPr>
          <w:p>
            <w:pPr>
              <w:rPr>
                <w:rFonts w:hAnsi="宋体"/>
                <w:szCs w:val="21"/>
              </w:rPr>
            </w:pPr>
            <w:r>
              <w:rPr>
                <w:rFonts w:hint="eastAsia"/>
                <w:szCs w:val="21"/>
              </w:rPr>
              <w:t>甲状旁腺激素（</w:t>
            </w:r>
            <w:r>
              <w:rPr>
                <w:szCs w:val="21"/>
              </w:rPr>
              <w:t>PTH</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21</w:t>
            </w:r>
          </w:p>
        </w:tc>
        <w:tc>
          <w:tcPr>
            <w:tcW w:w="3160" w:type="dxa"/>
            <w:noWrap/>
          </w:tcPr>
          <w:p>
            <w:pPr>
              <w:rPr>
                <w:rFonts w:hAnsi="宋体"/>
                <w:szCs w:val="21"/>
              </w:rPr>
            </w:pPr>
            <w:r>
              <w:rPr>
                <w:rFonts w:hint="eastAsia"/>
                <w:szCs w:val="21"/>
              </w:rPr>
              <w:t>结核杆菌（</w:t>
            </w:r>
            <w:r>
              <w:rPr>
                <w:szCs w:val="21"/>
              </w:rPr>
              <w:t>TB-DNA</w:t>
            </w:r>
            <w:r>
              <w:rPr>
                <w:rFonts w:hint="eastAsia"/>
                <w:szCs w:val="21"/>
              </w:rPr>
              <w:t>）定性</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痰液</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22</w:t>
            </w:r>
          </w:p>
        </w:tc>
        <w:tc>
          <w:tcPr>
            <w:tcW w:w="3160" w:type="dxa"/>
            <w:noWrap/>
          </w:tcPr>
          <w:p>
            <w:pPr>
              <w:rPr>
                <w:rFonts w:hAnsi="宋体"/>
                <w:szCs w:val="21"/>
              </w:rPr>
            </w:pPr>
            <w:r>
              <w:rPr>
                <w:rFonts w:hint="eastAsia"/>
                <w:szCs w:val="21"/>
              </w:rPr>
              <w:t>抗环瓜氨酸肽抗体（</w:t>
            </w:r>
            <w:r>
              <w:rPr>
                <w:szCs w:val="21"/>
              </w:rPr>
              <w:t>CCP</w:t>
            </w:r>
            <w:r>
              <w:rPr>
                <w:rFonts w:hint="eastAsia"/>
                <w:szCs w:val="21"/>
              </w:rPr>
              <w:t>）定量</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23</w:t>
            </w:r>
          </w:p>
        </w:tc>
        <w:tc>
          <w:tcPr>
            <w:tcW w:w="3160" w:type="dxa"/>
            <w:noWrap/>
          </w:tcPr>
          <w:p>
            <w:pPr>
              <w:rPr>
                <w:rFonts w:hAnsi="宋体"/>
                <w:szCs w:val="21"/>
              </w:rPr>
            </w:pPr>
            <w:r>
              <w:rPr>
                <w:rFonts w:hint="eastAsia"/>
                <w:szCs w:val="21"/>
              </w:rPr>
              <w:t>抗环瓜氨酸肽抗体（</w:t>
            </w:r>
            <w:r>
              <w:rPr>
                <w:szCs w:val="21"/>
              </w:rPr>
              <w:t>CCP</w:t>
            </w:r>
            <w:r>
              <w:rPr>
                <w:rFonts w:hint="eastAsia"/>
                <w:szCs w:val="21"/>
              </w:rPr>
              <w:t>）定性</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24</w:t>
            </w:r>
          </w:p>
        </w:tc>
        <w:tc>
          <w:tcPr>
            <w:tcW w:w="3160" w:type="dxa"/>
            <w:noWrap/>
          </w:tcPr>
          <w:p>
            <w:pPr>
              <w:rPr>
                <w:rFonts w:hAnsi="宋体"/>
                <w:szCs w:val="21"/>
              </w:rPr>
            </w:pPr>
            <w:r>
              <w:rPr>
                <w:rFonts w:hint="eastAsia"/>
                <w:szCs w:val="21"/>
              </w:rPr>
              <w:t>抗甲状腺过氧化物酶抗体（</w:t>
            </w:r>
            <w:r>
              <w:rPr>
                <w:szCs w:val="21"/>
              </w:rPr>
              <w:t>TPOAB</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25</w:t>
            </w:r>
          </w:p>
        </w:tc>
        <w:tc>
          <w:tcPr>
            <w:tcW w:w="3160" w:type="dxa"/>
            <w:noWrap/>
          </w:tcPr>
          <w:p>
            <w:pPr>
              <w:rPr>
                <w:rFonts w:hAnsi="宋体"/>
                <w:szCs w:val="21"/>
              </w:rPr>
            </w:pPr>
            <w:r>
              <w:rPr>
                <w:rFonts w:hint="eastAsia"/>
                <w:szCs w:val="21"/>
              </w:rPr>
              <w:t>抗甲状腺抗体三项</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26</w:t>
            </w:r>
          </w:p>
        </w:tc>
        <w:tc>
          <w:tcPr>
            <w:tcW w:w="3160" w:type="dxa"/>
            <w:noWrap/>
          </w:tcPr>
          <w:p>
            <w:pPr>
              <w:rPr>
                <w:rFonts w:hAnsi="宋体"/>
                <w:szCs w:val="21"/>
              </w:rPr>
            </w:pPr>
            <w:r>
              <w:rPr>
                <w:rFonts w:hint="eastAsia"/>
                <w:szCs w:val="21"/>
              </w:rPr>
              <w:t>抗甲状腺球蛋白抗体</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27</w:t>
            </w:r>
          </w:p>
        </w:tc>
        <w:tc>
          <w:tcPr>
            <w:tcW w:w="3160" w:type="dxa"/>
            <w:noWrap/>
          </w:tcPr>
          <w:p>
            <w:pPr>
              <w:rPr>
                <w:rFonts w:hAnsi="宋体"/>
                <w:szCs w:val="21"/>
              </w:rPr>
            </w:pPr>
            <w:r>
              <w:rPr>
                <w:rFonts w:hint="eastAsia"/>
                <w:szCs w:val="21"/>
              </w:rPr>
              <w:t>尿微量蛋白</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尿液</w:t>
            </w:r>
          </w:p>
        </w:tc>
        <w:tc>
          <w:tcPr>
            <w:tcW w:w="1275" w:type="dxa"/>
            <w:noWrap/>
            <w:vAlign w:val="center"/>
          </w:tcPr>
          <w:p>
            <w:pPr>
              <w:jc w:val="right"/>
              <w:rPr>
                <w:rFonts w:hAnsi="宋体"/>
                <w:sz w:val="24"/>
              </w:rPr>
            </w:pPr>
            <w:r>
              <w:rPr>
                <w:rFonts w:hint="eastAsi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28</w:t>
            </w:r>
          </w:p>
        </w:tc>
        <w:tc>
          <w:tcPr>
            <w:tcW w:w="3160" w:type="dxa"/>
            <w:noWrap/>
          </w:tcPr>
          <w:p>
            <w:pPr>
              <w:rPr>
                <w:rFonts w:hAnsi="宋体"/>
                <w:szCs w:val="21"/>
              </w:rPr>
            </w:pPr>
            <w:r>
              <w:rPr>
                <w:rFonts w:hint="eastAsia"/>
                <w:szCs w:val="21"/>
              </w:rPr>
              <w:t>皮质醇</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29</w:t>
            </w:r>
          </w:p>
        </w:tc>
        <w:tc>
          <w:tcPr>
            <w:tcW w:w="3160" w:type="dxa"/>
            <w:noWrap/>
          </w:tcPr>
          <w:p>
            <w:pPr>
              <w:rPr>
                <w:rFonts w:hAnsi="宋体"/>
                <w:szCs w:val="21"/>
              </w:rPr>
            </w:pPr>
            <w:r>
              <w:rPr>
                <w:rFonts w:hint="eastAsia"/>
                <w:szCs w:val="21"/>
              </w:rPr>
              <w:t>贫血三项（铁蛋白叶酸维生素</w:t>
            </w:r>
            <w:r>
              <w:rPr>
                <w:szCs w:val="21"/>
              </w:rPr>
              <w:t>B12</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30</w:t>
            </w:r>
          </w:p>
        </w:tc>
        <w:tc>
          <w:tcPr>
            <w:tcW w:w="3160" w:type="dxa"/>
            <w:noWrap/>
          </w:tcPr>
          <w:p>
            <w:pPr>
              <w:rPr>
                <w:rFonts w:hAnsi="宋体"/>
                <w:szCs w:val="21"/>
              </w:rPr>
            </w:pPr>
            <w:r>
              <w:rPr>
                <w:rFonts w:hint="eastAsia"/>
                <w:szCs w:val="21"/>
              </w:rPr>
              <w:t>人类白细胞分化抗原</w:t>
            </w:r>
            <w:r>
              <w:rPr>
                <w:szCs w:val="21"/>
              </w:rPr>
              <w:t>B27</w:t>
            </w:r>
            <w:r>
              <w:rPr>
                <w:rFonts w:hint="eastAsia"/>
                <w:szCs w:val="21"/>
              </w:rPr>
              <w:t>筛查</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31</w:t>
            </w:r>
          </w:p>
        </w:tc>
        <w:tc>
          <w:tcPr>
            <w:tcW w:w="3160" w:type="dxa"/>
            <w:noWrap/>
          </w:tcPr>
          <w:p>
            <w:pPr>
              <w:rPr>
                <w:rFonts w:hAnsi="宋体"/>
                <w:szCs w:val="21"/>
              </w:rPr>
            </w:pPr>
            <w:r>
              <w:rPr>
                <w:rFonts w:hint="eastAsia"/>
                <w:szCs w:val="21"/>
              </w:rPr>
              <w:t>神经元特异性烯醇化酶（</w:t>
            </w:r>
            <w:r>
              <w:rPr>
                <w:szCs w:val="21"/>
              </w:rPr>
              <w:t>NSE</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32</w:t>
            </w:r>
          </w:p>
        </w:tc>
        <w:tc>
          <w:tcPr>
            <w:tcW w:w="3160" w:type="dxa"/>
            <w:noWrap/>
          </w:tcPr>
          <w:p>
            <w:pPr>
              <w:rPr>
                <w:rFonts w:hAnsi="宋体"/>
                <w:szCs w:val="21"/>
              </w:rPr>
            </w:pPr>
            <w:r>
              <w:rPr>
                <w:rFonts w:hint="eastAsia"/>
                <w:szCs w:val="21"/>
              </w:rPr>
              <w:t>唐氏二期筛查</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33</w:t>
            </w:r>
          </w:p>
        </w:tc>
        <w:tc>
          <w:tcPr>
            <w:tcW w:w="3160" w:type="dxa"/>
            <w:noWrap/>
          </w:tcPr>
          <w:p>
            <w:pPr>
              <w:rPr>
                <w:rFonts w:hAnsi="宋体"/>
                <w:szCs w:val="21"/>
              </w:rPr>
            </w:pPr>
            <w:r>
              <w:rPr>
                <w:rFonts w:hint="eastAsia"/>
                <w:szCs w:val="21"/>
              </w:rPr>
              <w:t>糖链抗原</w:t>
            </w:r>
            <w:r>
              <w:rPr>
                <w:szCs w:val="21"/>
              </w:rPr>
              <w:t>CA242</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34</w:t>
            </w:r>
          </w:p>
        </w:tc>
        <w:tc>
          <w:tcPr>
            <w:tcW w:w="3160" w:type="dxa"/>
            <w:noWrap/>
          </w:tcPr>
          <w:p>
            <w:pPr>
              <w:rPr>
                <w:rFonts w:hAnsi="宋体"/>
                <w:szCs w:val="21"/>
              </w:rPr>
            </w:pPr>
            <w:r>
              <w:rPr>
                <w:rFonts w:hint="eastAsia"/>
                <w:szCs w:val="21"/>
              </w:rPr>
              <w:t>糖链抗原</w:t>
            </w:r>
            <w:r>
              <w:rPr>
                <w:szCs w:val="21"/>
              </w:rPr>
              <w:t>CA72-4</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35</w:t>
            </w:r>
          </w:p>
        </w:tc>
        <w:tc>
          <w:tcPr>
            <w:tcW w:w="3160" w:type="dxa"/>
            <w:noWrap/>
          </w:tcPr>
          <w:p>
            <w:pPr>
              <w:rPr>
                <w:rFonts w:hAnsi="宋体"/>
                <w:szCs w:val="21"/>
              </w:rPr>
            </w:pPr>
            <w:r>
              <w:rPr>
                <w:rFonts w:hint="eastAsia"/>
                <w:szCs w:val="21"/>
              </w:rPr>
              <w:t>糖尿病两项</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36</w:t>
            </w:r>
          </w:p>
        </w:tc>
        <w:tc>
          <w:tcPr>
            <w:tcW w:w="3160" w:type="dxa"/>
            <w:noWrap/>
          </w:tcPr>
          <w:p>
            <w:pPr>
              <w:rPr>
                <w:rFonts w:hAnsi="宋体"/>
                <w:szCs w:val="21"/>
              </w:rPr>
            </w:pPr>
            <w:r>
              <w:rPr>
                <w:rFonts w:hint="eastAsia"/>
                <w:szCs w:val="21"/>
              </w:rPr>
              <w:t>糖尿病三项</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37</w:t>
            </w:r>
          </w:p>
        </w:tc>
        <w:tc>
          <w:tcPr>
            <w:tcW w:w="3160" w:type="dxa"/>
            <w:noWrap/>
          </w:tcPr>
          <w:p>
            <w:pPr>
              <w:rPr>
                <w:rFonts w:hAnsi="宋体"/>
                <w:szCs w:val="21"/>
              </w:rPr>
            </w:pPr>
            <w:r>
              <w:rPr>
                <w:rFonts w:hint="eastAsia"/>
                <w:szCs w:val="21"/>
              </w:rPr>
              <w:t>同型半胱氨酸（</w:t>
            </w:r>
            <w:r>
              <w:rPr>
                <w:szCs w:val="21"/>
              </w:rPr>
              <w:t>HCY</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38</w:t>
            </w:r>
          </w:p>
        </w:tc>
        <w:tc>
          <w:tcPr>
            <w:tcW w:w="3160" w:type="dxa"/>
            <w:noWrap/>
          </w:tcPr>
          <w:p>
            <w:pPr>
              <w:rPr>
                <w:rFonts w:hAnsi="宋体"/>
                <w:szCs w:val="21"/>
              </w:rPr>
            </w:pPr>
            <w:r>
              <w:rPr>
                <w:rFonts w:hint="eastAsia"/>
                <w:szCs w:val="21"/>
              </w:rPr>
              <w:t>戊型肝炎病毒抗体</w:t>
            </w:r>
            <w:r>
              <w:rPr>
                <w:szCs w:val="21"/>
              </w:rPr>
              <w:t>IgM</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39</w:t>
            </w:r>
          </w:p>
        </w:tc>
        <w:tc>
          <w:tcPr>
            <w:tcW w:w="3160" w:type="dxa"/>
            <w:noWrap/>
          </w:tcPr>
          <w:p>
            <w:pPr>
              <w:rPr>
                <w:rFonts w:hAnsi="宋体"/>
                <w:szCs w:val="21"/>
              </w:rPr>
            </w:pPr>
            <w:r>
              <w:rPr>
                <w:rFonts w:hint="eastAsia"/>
                <w:szCs w:val="21"/>
              </w:rPr>
              <w:t>戊型肝炎病毒抗体两项（</w:t>
            </w:r>
            <w:r>
              <w:rPr>
                <w:szCs w:val="21"/>
              </w:rPr>
              <w:t>HEV-IgMIgG</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40</w:t>
            </w:r>
          </w:p>
        </w:tc>
        <w:tc>
          <w:tcPr>
            <w:tcW w:w="3160" w:type="dxa"/>
            <w:noWrap/>
          </w:tcPr>
          <w:p>
            <w:pPr>
              <w:rPr>
                <w:rFonts w:hAnsi="宋体"/>
                <w:szCs w:val="21"/>
              </w:rPr>
            </w:pPr>
            <w:r>
              <w:rPr>
                <w:rFonts w:hint="eastAsia"/>
                <w:szCs w:val="21"/>
              </w:rPr>
              <w:t>细胞角蛋白</w:t>
            </w:r>
            <w:r>
              <w:rPr>
                <w:szCs w:val="21"/>
              </w:rPr>
              <w:t>19</w:t>
            </w:r>
            <w:r>
              <w:rPr>
                <w:rFonts w:hint="eastAsia"/>
                <w:szCs w:val="21"/>
              </w:rPr>
              <w:t>片段（</w:t>
            </w:r>
            <w:r>
              <w:rPr>
                <w:szCs w:val="21"/>
              </w:rPr>
              <w:t>CYFRA21-</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41</w:t>
            </w:r>
          </w:p>
        </w:tc>
        <w:tc>
          <w:tcPr>
            <w:tcW w:w="3160" w:type="dxa"/>
            <w:noWrap/>
          </w:tcPr>
          <w:p>
            <w:pPr>
              <w:rPr>
                <w:rFonts w:hAnsi="宋体"/>
                <w:szCs w:val="21"/>
              </w:rPr>
            </w:pPr>
            <w:r>
              <w:rPr>
                <w:rFonts w:hint="eastAsia"/>
                <w:szCs w:val="21"/>
              </w:rPr>
              <w:t>腺苷脱氨酶（</w:t>
            </w:r>
            <w:r>
              <w:rPr>
                <w:szCs w:val="21"/>
              </w:rPr>
              <w:t>ADA</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胸水/血清</w:t>
            </w:r>
          </w:p>
        </w:tc>
        <w:tc>
          <w:tcPr>
            <w:tcW w:w="1275" w:type="dxa"/>
            <w:noWrap/>
            <w:vAlign w:val="center"/>
          </w:tcPr>
          <w:p>
            <w:pPr>
              <w:jc w:val="right"/>
              <w:rPr>
                <w:rFonts w:hAnsi="宋体"/>
                <w:sz w:val="24"/>
              </w:rP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42</w:t>
            </w:r>
          </w:p>
        </w:tc>
        <w:tc>
          <w:tcPr>
            <w:tcW w:w="3160" w:type="dxa"/>
            <w:noWrap/>
          </w:tcPr>
          <w:p>
            <w:pPr>
              <w:rPr>
                <w:rFonts w:hAnsi="宋体"/>
                <w:szCs w:val="21"/>
              </w:rPr>
            </w:pPr>
            <w:r>
              <w:rPr>
                <w:rFonts w:hint="eastAsia"/>
                <w:szCs w:val="21"/>
              </w:rPr>
              <w:t>血β</w:t>
            </w:r>
            <w:r>
              <w:rPr>
                <w:szCs w:val="21"/>
              </w:rPr>
              <w:t>2</w:t>
            </w:r>
            <w:r>
              <w:rPr>
                <w:rFonts w:hint="eastAsia"/>
                <w:szCs w:val="21"/>
              </w:rPr>
              <w:t>微球蛋白（β</w:t>
            </w:r>
            <w:r>
              <w:rPr>
                <w:szCs w:val="21"/>
              </w:rPr>
              <w:t>2-MG</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43</w:t>
            </w:r>
          </w:p>
        </w:tc>
        <w:tc>
          <w:tcPr>
            <w:tcW w:w="3160" w:type="dxa"/>
            <w:noWrap/>
          </w:tcPr>
          <w:p>
            <w:pPr>
              <w:rPr>
                <w:rFonts w:hAnsi="宋体"/>
                <w:szCs w:val="21"/>
              </w:rPr>
            </w:pPr>
            <w:r>
              <w:rPr>
                <w:rFonts w:hint="eastAsia"/>
                <w:szCs w:val="21"/>
              </w:rPr>
              <w:t>胰岛素抗体</w:t>
            </w:r>
            <w:r>
              <w:rPr>
                <w:szCs w:val="21"/>
              </w:rPr>
              <w:t>INS</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44</w:t>
            </w:r>
          </w:p>
        </w:tc>
        <w:tc>
          <w:tcPr>
            <w:tcW w:w="3160" w:type="dxa"/>
            <w:noWrap/>
          </w:tcPr>
          <w:p>
            <w:pPr>
              <w:rPr>
                <w:rFonts w:hAnsi="宋体"/>
                <w:szCs w:val="21"/>
              </w:rPr>
            </w:pPr>
            <w:r>
              <w:rPr>
                <w:rFonts w:hint="eastAsia"/>
                <w:szCs w:val="21"/>
              </w:rPr>
              <w:t>胰岛素自身抗体（</w:t>
            </w:r>
            <w:r>
              <w:rPr>
                <w:szCs w:val="21"/>
              </w:rPr>
              <w:t>IAA-IgG</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45</w:t>
            </w:r>
          </w:p>
        </w:tc>
        <w:tc>
          <w:tcPr>
            <w:tcW w:w="3160" w:type="dxa"/>
            <w:noWrap/>
          </w:tcPr>
          <w:p>
            <w:pPr>
              <w:rPr>
                <w:rFonts w:hAnsi="宋体"/>
                <w:szCs w:val="21"/>
              </w:rPr>
            </w:pPr>
            <w:r>
              <w:rPr>
                <w:rFonts w:hint="eastAsia"/>
                <w:szCs w:val="21"/>
              </w:rPr>
              <w:t>遗传代谢性疾病检测</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血纸片/尿纸片</w:t>
            </w:r>
          </w:p>
        </w:tc>
        <w:tc>
          <w:tcPr>
            <w:tcW w:w="1275" w:type="dxa"/>
            <w:noWrap/>
            <w:vAlign w:val="center"/>
          </w:tcPr>
          <w:p>
            <w:pPr>
              <w:jc w:val="right"/>
              <w:rPr>
                <w:rFonts w:hAnsi="宋体"/>
                <w:sz w:val="24"/>
              </w:rP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46</w:t>
            </w:r>
          </w:p>
        </w:tc>
        <w:tc>
          <w:tcPr>
            <w:tcW w:w="3160" w:type="dxa"/>
            <w:noWrap/>
          </w:tcPr>
          <w:p>
            <w:pPr>
              <w:rPr>
                <w:rFonts w:hAnsi="宋体"/>
                <w:szCs w:val="21"/>
              </w:rPr>
            </w:pPr>
            <w:r>
              <w:rPr>
                <w:rFonts w:hint="eastAsia"/>
                <w:szCs w:val="21"/>
              </w:rPr>
              <w:t>乙型肝炎病毒拉米夫定耐药基因检测</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47</w:t>
            </w:r>
          </w:p>
        </w:tc>
        <w:tc>
          <w:tcPr>
            <w:tcW w:w="3160" w:type="dxa"/>
            <w:noWrap/>
          </w:tcPr>
          <w:p>
            <w:pPr>
              <w:rPr>
                <w:rFonts w:hAnsi="宋体"/>
                <w:szCs w:val="21"/>
              </w:rPr>
            </w:pPr>
            <w:r>
              <w:rPr>
                <w:rFonts w:hint="eastAsia"/>
                <w:szCs w:val="21"/>
              </w:rPr>
              <w:t>优生十项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48</w:t>
            </w:r>
          </w:p>
        </w:tc>
        <w:tc>
          <w:tcPr>
            <w:tcW w:w="3160" w:type="dxa"/>
            <w:noWrap/>
          </w:tcPr>
          <w:p>
            <w:pPr>
              <w:rPr>
                <w:rFonts w:hAnsi="宋体"/>
                <w:szCs w:val="21"/>
              </w:rPr>
            </w:pPr>
            <w:r>
              <w:rPr>
                <w:rFonts w:hint="eastAsia"/>
                <w:szCs w:val="21"/>
              </w:rPr>
              <w:t>自身免疫肝病抗体九项</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49</w:t>
            </w:r>
          </w:p>
        </w:tc>
        <w:tc>
          <w:tcPr>
            <w:tcW w:w="3160" w:type="dxa"/>
            <w:noWrap/>
          </w:tcPr>
          <w:p>
            <w:pPr>
              <w:rPr>
                <w:rFonts w:hAnsi="宋体"/>
                <w:szCs w:val="21"/>
              </w:rPr>
            </w:pPr>
            <w:r>
              <w:rPr>
                <w:rFonts w:hint="eastAsia"/>
                <w:szCs w:val="21"/>
              </w:rPr>
              <w:t>自身免疫肝病抗体四项</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50</w:t>
            </w:r>
          </w:p>
        </w:tc>
        <w:tc>
          <w:tcPr>
            <w:tcW w:w="3160" w:type="dxa"/>
            <w:noWrap/>
          </w:tcPr>
          <w:p>
            <w:pPr>
              <w:rPr>
                <w:rFonts w:hAnsi="宋体"/>
                <w:szCs w:val="21"/>
              </w:rPr>
            </w:pPr>
            <w:r>
              <w:rPr>
                <w:rFonts w:hint="eastAsia"/>
                <w:szCs w:val="21"/>
              </w:rPr>
              <w:t>抗核抗体（</w:t>
            </w:r>
            <w:r>
              <w:rPr>
                <w:szCs w:val="21"/>
              </w:rPr>
              <w:t>ANA</w:t>
            </w:r>
            <w:r>
              <w:rPr>
                <w:rFonts w:hint="eastAsia"/>
                <w:szCs w:val="21"/>
              </w:rPr>
              <w:t>）</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51</w:t>
            </w:r>
          </w:p>
        </w:tc>
        <w:tc>
          <w:tcPr>
            <w:tcW w:w="3160" w:type="dxa"/>
            <w:noWrap/>
          </w:tcPr>
          <w:p>
            <w:pPr>
              <w:rPr>
                <w:szCs w:val="21"/>
              </w:rPr>
            </w:pPr>
            <w:r>
              <w:rPr>
                <w:szCs w:val="21"/>
              </w:rPr>
              <w:t>ANC</w:t>
            </w:r>
            <w:r>
              <w:rPr>
                <w:rFonts w:hint="eastAsia"/>
                <w:szCs w:val="21"/>
              </w:rPr>
              <w:t>A四项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52</w:t>
            </w:r>
          </w:p>
        </w:tc>
        <w:tc>
          <w:tcPr>
            <w:tcW w:w="3160" w:type="dxa"/>
            <w:noWrap/>
          </w:tcPr>
          <w:p>
            <w:pPr>
              <w:rPr>
                <w:rFonts w:hAnsi="宋体"/>
                <w:szCs w:val="21"/>
              </w:rPr>
            </w:pPr>
            <w:r>
              <w:rPr>
                <w:rFonts w:hint="eastAsia"/>
                <w:szCs w:val="21"/>
              </w:rPr>
              <w:t>ENA7项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53</w:t>
            </w:r>
          </w:p>
        </w:tc>
        <w:tc>
          <w:tcPr>
            <w:tcW w:w="3160" w:type="dxa"/>
            <w:noWrap/>
          </w:tcPr>
          <w:p>
            <w:pPr>
              <w:rPr>
                <w:rFonts w:hAnsi="宋体"/>
                <w:szCs w:val="21"/>
              </w:rPr>
            </w:pPr>
            <w:r>
              <w:rPr>
                <w:rFonts w:hint="eastAsia"/>
                <w:szCs w:val="21"/>
              </w:rPr>
              <w:t>抗双链</w:t>
            </w:r>
            <w:r>
              <w:rPr>
                <w:szCs w:val="21"/>
              </w:rPr>
              <w:t>DNA</w:t>
            </w:r>
            <w:r>
              <w:rPr>
                <w:rFonts w:hint="eastAsia"/>
                <w:szCs w:val="21"/>
              </w:rPr>
              <w:t>抗体</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54</w:t>
            </w:r>
          </w:p>
        </w:tc>
        <w:tc>
          <w:tcPr>
            <w:tcW w:w="3160" w:type="dxa"/>
            <w:noWrap/>
          </w:tcPr>
          <w:p>
            <w:pPr>
              <w:rPr>
                <w:rFonts w:hAnsi="宋体"/>
                <w:szCs w:val="21"/>
              </w:rPr>
            </w:pPr>
            <w:r>
              <w:rPr>
                <w:rFonts w:hint="eastAsia"/>
                <w:szCs w:val="21"/>
              </w:rPr>
              <w:t>糖尿病自身抗体三项</w:t>
            </w:r>
          </w:p>
        </w:tc>
        <w:tc>
          <w:tcPr>
            <w:tcW w:w="2878" w:type="dxa"/>
          </w:tcPr>
          <w:p>
            <w:pPr>
              <w:rPr>
                <w:rFonts w:hAnsi="宋体"/>
                <w:szCs w:val="21"/>
              </w:rPr>
            </w:pPr>
            <w:r>
              <w:rPr>
                <w:rFonts w:hint="eastAsia"/>
                <w:szCs w:val="21"/>
              </w:rPr>
              <w:t>2.4.6白班检测（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55</w:t>
            </w:r>
          </w:p>
        </w:tc>
        <w:tc>
          <w:tcPr>
            <w:tcW w:w="3160" w:type="dxa"/>
            <w:noWrap/>
          </w:tcPr>
          <w:p>
            <w:pPr>
              <w:rPr>
                <w:rFonts w:hAnsi="宋体"/>
                <w:szCs w:val="21"/>
              </w:rPr>
            </w:pPr>
            <w:r>
              <w:rPr>
                <w:rFonts w:hint="eastAsia"/>
                <w:szCs w:val="21"/>
              </w:rPr>
              <w:t>自身抗体三项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56</w:t>
            </w:r>
          </w:p>
        </w:tc>
        <w:tc>
          <w:tcPr>
            <w:tcW w:w="3160" w:type="dxa"/>
            <w:noWrap/>
          </w:tcPr>
          <w:p>
            <w:pPr>
              <w:rPr>
                <w:rFonts w:hAnsi="宋体"/>
                <w:szCs w:val="21"/>
              </w:rPr>
            </w:pPr>
            <w:r>
              <w:rPr>
                <w:rFonts w:hint="eastAsia"/>
                <w:szCs w:val="21"/>
              </w:rPr>
              <w:t>IgG抗</w:t>
            </w:r>
            <w:r>
              <w:rPr>
                <w:szCs w:val="21"/>
              </w:rPr>
              <w:t>A</w:t>
            </w:r>
            <w:r>
              <w:rPr>
                <w:rFonts w:hint="eastAsia"/>
                <w:szCs w:val="21"/>
              </w:rPr>
              <w:t>效价测定</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57</w:t>
            </w:r>
          </w:p>
        </w:tc>
        <w:tc>
          <w:tcPr>
            <w:tcW w:w="3160" w:type="dxa"/>
            <w:noWrap/>
          </w:tcPr>
          <w:p>
            <w:pPr>
              <w:rPr>
                <w:rFonts w:hAnsi="宋体"/>
                <w:szCs w:val="21"/>
              </w:rPr>
            </w:pPr>
            <w:r>
              <w:rPr>
                <w:rFonts w:hint="eastAsia"/>
                <w:szCs w:val="21"/>
              </w:rPr>
              <w:t>IgG抗</w:t>
            </w:r>
            <w:r>
              <w:rPr>
                <w:szCs w:val="21"/>
              </w:rPr>
              <w:t>B</w:t>
            </w:r>
            <w:r>
              <w:rPr>
                <w:rFonts w:hint="eastAsia"/>
                <w:szCs w:val="21"/>
              </w:rPr>
              <w:t>效价测定</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58</w:t>
            </w:r>
          </w:p>
        </w:tc>
        <w:tc>
          <w:tcPr>
            <w:tcW w:w="3160" w:type="dxa"/>
            <w:noWrap/>
          </w:tcPr>
          <w:p>
            <w:pPr>
              <w:rPr>
                <w:rFonts w:hAnsi="宋体"/>
                <w:szCs w:val="21"/>
              </w:rPr>
            </w:pPr>
            <w:r>
              <w:rPr>
                <w:rFonts w:hint="eastAsia"/>
                <w:szCs w:val="21"/>
              </w:rPr>
              <w:t>血管炎四项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59</w:t>
            </w:r>
          </w:p>
        </w:tc>
        <w:tc>
          <w:tcPr>
            <w:tcW w:w="3160" w:type="dxa"/>
            <w:noWrap/>
            <w:vAlign w:val="center"/>
          </w:tcPr>
          <w:p>
            <w:pPr>
              <w:rPr>
                <w:rFonts w:hAnsi="宋体"/>
                <w:sz w:val="24"/>
              </w:rPr>
            </w:pPr>
            <w:r>
              <w:rPr>
                <w:rFonts w:hint="eastAsia"/>
              </w:rPr>
              <w:t>胃功能三项</w:t>
            </w:r>
          </w:p>
        </w:tc>
        <w:tc>
          <w:tcPr>
            <w:tcW w:w="2878" w:type="dxa"/>
            <w:vAlign w:val="center"/>
          </w:tcPr>
          <w:p>
            <w:pPr>
              <w:rPr>
                <w:rFonts w:hAnsi="宋体"/>
                <w:sz w:val="20"/>
                <w:szCs w:val="20"/>
              </w:rPr>
            </w:pPr>
            <w:r>
              <w:rPr>
                <w:rFonts w:hint="eastAsia"/>
                <w:sz w:val="20"/>
                <w:szCs w:val="20"/>
              </w:rPr>
              <w:t>2.4.6白班检测（2-3个工作日）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60</w:t>
            </w:r>
          </w:p>
        </w:tc>
        <w:tc>
          <w:tcPr>
            <w:tcW w:w="3160" w:type="dxa"/>
            <w:noWrap/>
            <w:vAlign w:val="center"/>
          </w:tcPr>
          <w:p>
            <w:pPr>
              <w:rPr>
                <w:rFonts w:hAnsi="宋体"/>
                <w:sz w:val="24"/>
              </w:rPr>
            </w:pPr>
            <w:r>
              <w:rPr>
                <w:rFonts w:hint="eastAsia"/>
              </w:rPr>
              <w:t>卡马西平</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61</w:t>
            </w:r>
          </w:p>
        </w:tc>
        <w:tc>
          <w:tcPr>
            <w:tcW w:w="3160" w:type="dxa"/>
            <w:noWrap/>
            <w:vAlign w:val="center"/>
          </w:tcPr>
          <w:p>
            <w:pPr>
              <w:rPr>
                <w:rFonts w:hAnsi="宋体"/>
                <w:sz w:val="24"/>
              </w:rPr>
            </w:pPr>
            <w:r>
              <w:rPr>
                <w:rFonts w:hint="eastAsia"/>
              </w:rPr>
              <w:t>丙戊酸</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62</w:t>
            </w:r>
          </w:p>
        </w:tc>
        <w:tc>
          <w:tcPr>
            <w:tcW w:w="3160" w:type="dxa"/>
            <w:noWrap/>
            <w:vAlign w:val="center"/>
          </w:tcPr>
          <w:p>
            <w:pPr>
              <w:rPr>
                <w:rFonts w:hAnsi="宋体"/>
                <w:sz w:val="24"/>
              </w:rPr>
            </w:pPr>
            <w:r>
              <w:rPr>
                <w:rFonts w:hint="eastAsia"/>
              </w:rPr>
              <w:t>苯巴比妥</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63</w:t>
            </w:r>
          </w:p>
        </w:tc>
        <w:tc>
          <w:tcPr>
            <w:tcW w:w="3160" w:type="dxa"/>
            <w:noWrap/>
            <w:vAlign w:val="center"/>
          </w:tcPr>
          <w:p>
            <w:pPr>
              <w:rPr>
                <w:rFonts w:hAnsi="宋体"/>
                <w:sz w:val="24"/>
              </w:rPr>
            </w:pPr>
            <w:r>
              <w:rPr>
                <w:rFonts w:hint="eastAsia"/>
              </w:rPr>
              <w:t>苯妥英钠</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64</w:t>
            </w:r>
          </w:p>
        </w:tc>
        <w:tc>
          <w:tcPr>
            <w:tcW w:w="3160" w:type="dxa"/>
            <w:noWrap/>
            <w:vAlign w:val="center"/>
          </w:tcPr>
          <w:p>
            <w:pPr>
              <w:rPr>
                <w:rFonts w:hAnsi="宋体"/>
                <w:sz w:val="24"/>
              </w:rPr>
            </w:pPr>
            <w:r>
              <w:rPr>
                <w:rFonts w:hint="eastAsia"/>
              </w:rPr>
              <w:t>普乐可复（他克莫司）</w:t>
            </w:r>
          </w:p>
        </w:tc>
        <w:tc>
          <w:tcPr>
            <w:tcW w:w="2878" w:type="dxa"/>
            <w:vAlign w:val="center"/>
          </w:tcPr>
          <w:p>
            <w:pPr>
              <w:rPr>
                <w:rFonts w:hAnsi="宋体"/>
                <w:sz w:val="24"/>
              </w:rPr>
            </w:pPr>
            <w:r>
              <w:rPr>
                <w:rFonts w:hint="eastAsia"/>
              </w:rPr>
              <w:t>6个工作日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65</w:t>
            </w:r>
          </w:p>
        </w:tc>
        <w:tc>
          <w:tcPr>
            <w:tcW w:w="3160" w:type="dxa"/>
            <w:noWrap/>
            <w:vAlign w:val="center"/>
          </w:tcPr>
          <w:p>
            <w:pPr>
              <w:rPr>
                <w:rFonts w:hAnsi="宋体"/>
                <w:sz w:val="24"/>
              </w:rPr>
            </w:pPr>
            <w:r>
              <w:rPr>
                <w:rFonts w:hint="eastAsia"/>
              </w:rPr>
              <w:t>真菌1,3-β-D-葡聚糖检测（G试验）</w:t>
            </w:r>
          </w:p>
        </w:tc>
        <w:tc>
          <w:tcPr>
            <w:tcW w:w="2878" w:type="dxa"/>
            <w:vAlign w:val="center"/>
          </w:tcPr>
          <w:p>
            <w:pPr>
              <w:rPr>
                <w:rFonts w:hAnsi="宋体"/>
                <w:sz w:val="24"/>
              </w:rPr>
            </w:pPr>
            <w:r>
              <w:rPr>
                <w:rFonts w:hint="eastAsia"/>
              </w:rPr>
              <w:t>2个工作日（一小时内离心）</w:t>
            </w:r>
          </w:p>
        </w:tc>
        <w:tc>
          <w:tcPr>
            <w:tcW w:w="1800" w:type="dxa"/>
            <w:noWrap/>
            <w:vAlign w:val="center"/>
          </w:tcPr>
          <w:p>
            <w:pPr>
              <w:rPr>
                <w:rFonts w:hAnsi="宋体"/>
                <w:sz w:val="24"/>
              </w:rPr>
            </w:pPr>
            <w:r>
              <w:rPr>
                <w:rFonts w:hint="eastAsia"/>
              </w:rPr>
              <w:t>BD带分离胶管</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66</w:t>
            </w:r>
          </w:p>
        </w:tc>
        <w:tc>
          <w:tcPr>
            <w:tcW w:w="3160" w:type="dxa"/>
            <w:noWrap/>
            <w:vAlign w:val="center"/>
          </w:tcPr>
          <w:p>
            <w:pPr>
              <w:rPr>
                <w:rFonts w:hAnsi="宋体"/>
                <w:sz w:val="24"/>
              </w:rPr>
            </w:pPr>
            <w:r>
              <w:rPr>
                <w:rFonts w:hint="eastAsia"/>
              </w:rPr>
              <w:t>曲霉菌抗原检测（GM试验）</w:t>
            </w:r>
          </w:p>
        </w:tc>
        <w:tc>
          <w:tcPr>
            <w:tcW w:w="2878" w:type="dxa"/>
            <w:vAlign w:val="center"/>
          </w:tcPr>
          <w:p>
            <w:pPr>
              <w:rPr>
                <w:rFonts w:hAnsi="宋体"/>
                <w:sz w:val="24"/>
              </w:rPr>
            </w:pPr>
            <w:r>
              <w:rPr>
                <w:rFonts w:hint="eastAsia"/>
              </w:rPr>
              <w:t>5个工作日（生化管）</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67</w:t>
            </w:r>
          </w:p>
        </w:tc>
        <w:tc>
          <w:tcPr>
            <w:tcW w:w="3160" w:type="dxa"/>
            <w:noWrap/>
            <w:vAlign w:val="center"/>
          </w:tcPr>
          <w:p>
            <w:pPr>
              <w:rPr>
                <w:rFonts w:hAnsi="宋体"/>
                <w:sz w:val="24"/>
              </w:rPr>
            </w:pPr>
            <w:r>
              <w:rPr>
                <w:rFonts w:hint="eastAsia"/>
              </w:rPr>
              <w:t>HBV-DNA</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68</w:t>
            </w:r>
          </w:p>
        </w:tc>
        <w:tc>
          <w:tcPr>
            <w:tcW w:w="3160" w:type="dxa"/>
            <w:noWrap/>
            <w:vAlign w:val="center"/>
          </w:tcPr>
          <w:p>
            <w:pPr>
              <w:rPr>
                <w:rFonts w:hAnsi="宋体"/>
                <w:sz w:val="24"/>
              </w:rPr>
            </w:pPr>
            <w:r>
              <w:rPr>
                <w:rFonts w:hint="eastAsia"/>
              </w:rPr>
              <w:t>T细胞斑点试验（t-spot）</w:t>
            </w:r>
          </w:p>
        </w:tc>
        <w:tc>
          <w:tcPr>
            <w:tcW w:w="2878" w:type="dxa"/>
            <w:vAlign w:val="center"/>
          </w:tcPr>
          <w:p>
            <w:pPr>
              <w:rPr>
                <w:rFonts w:hAnsi="宋体"/>
                <w:sz w:val="24"/>
              </w:rPr>
            </w:pPr>
            <w:r>
              <w:rPr>
                <w:rFonts w:hint="eastAsia"/>
              </w:rPr>
              <w:t>5个工作日</w:t>
            </w:r>
          </w:p>
        </w:tc>
        <w:tc>
          <w:tcPr>
            <w:tcW w:w="1800" w:type="dxa"/>
            <w:noWrap/>
            <w:vAlign w:val="center"/>
          </w:tcPr>
          <w:p>
            <w:pPr>
              <w:rPr>
                <w:rFonts w:hAnsi="宋体"/>
                <w:sz w:val="24"/>
              </w:rPr>
            </w:pPr>
            <w:r>
              <w:rPr>
                <w:rFonts w:hint="eastAsia"/>
              </w:rPr>
              <w:t>肝素抗凝专用管</w:t>
            </w:r>
          </w:p>
        </w:tc>
        <w:tc>
          <w:tcPr>
            <w:tcW w:w="1275" w:type="dxa"/>
            <w:noWrap/>
            <w:vAlign w:val="center"/>
          </w:tcPr>
          <w:p>
            <w:pPr>
              <w:jc w:val="right"/>
              <w:rPr>
                <w:rFonts w:hAnsi="宋体"/>
                <w:sz w:val="24"/>
              </w:rPr>
            </w:pPr>
            <w:r>
              <w:rPr>
                <w:rFonts w:hint="eastAsia"/>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69</w:t>
            </w:r>
          </w:p>
        </w:tc>
        <w:tc>
          <w:tcPr>
            <w:tcW w:w="3160" w:type="dxa"/>
            <w:noWrap/>
            <w:vAlign w:val="center"/>
          </w:tcPr>
          <w:p>
            <w:pPr>
              <w:rPr>
                <w:rFonts w:hAnsi="宋体"/>
                <w:sz w:val="24"/>
              </w:rPr>
            </w:pPr>
            <w:r>
              <w:rPr>
                <w:rFonts w:hint="eastAsia"/>
              </w:rPr>
              <w:t>甲状腺球蛋白</w:t>
            </w:r>
          </w:p>
        </w:tc>
        <w:tc>
          <w:tcPr>
            <w:tcW w:w="2878" w:type="dxa"/>
            <w:vAlign w:val="center"/>
          </w:tcPr>
          <w:p>
            <w:pPr>
              <w:rPr>
                <w:rFonts w:hAnsi="宋体"/>
                <w:sz w:val="24"/>
              </w:rPr>
            </w:pPr>
            <w:r>
              <w:rPr>
                <w:rFonts w:hint="eastAsia"/>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70</w:t>
            </w:r>
          </w:p>
        </w:tc>
        <w:tc>
          <w:tcPr>
            <w:tcW w:w="3160" w:type="dxa"/>
            <w:noWrap/>
            <w:vAlign w:val="center"/>
          </w:tcPr>
          <w:p>
            <w:pPr>
              <w:rPr>
                <w:rFonts w:hAnsi="宋体"/>
                <w:sz w:val="24"/>
              </w:rPr>
            </w:pPr>
            <w:r>
              <w:rPr>
                <w:rFonts w:hint="eastAsia"/>
              </w:rPr>
              <w:t>染色体核型分析（550带）</w:t>
            </w:r>
          </w:p>
        </w:tc>
        <w:tc>
          <w:tcPr>
            <w:tcW w:w="2878" w:type="dxa"/>
            <w:vAlign w:val="center"/>
          </w:tcPr>
          <w:p>
            <w:pPr>
              <w:rPr>
                <w:rFonts w:hAnsi="宋体"/>
                <w:sz w:val="24"/>
              </w:rPr>
            </w:pPr>
            <w:r>
              <w:rPr>
                <w:rFonts w:hint="eastAsia"/>
              </w:rPr>
              <w:t>12-14个工作日</w:t>
            </w:r>
          </w:p>
        </w:tc>
        <w:tc>
          <w:tcPr>
            <w:tcW w:w="1800" w:type="dxa"/>
            <w:noWrap/>
            <w:vAlign w:val="center"/>
          </w:tcPr>
          <w:p>
            <w:pPr>
              <w:rPr>
                <w:rFonts w:hAnsi="宋体"/>
                <w:sz w:val="24"/>
              </w:rPr>
            </w:pPr>
            <w:r>
              <w:rPr>
                <w:rFonts w:hint="eastAsia"/>
              </w:rPr>
              <w:t>肝素抗凝专用管</w:t>
            </w:r>
          </w:p>
        </w:tc>
        <w:tc>
          <w:tcPr>
            <w:tcW w:w="1275" w:type="dxa"/>
            <w:noWrap/>
            <w:vAlign w:val="center"/>
          </w:tcPr>
          <w:p>
            <w:pPr>
              <w:jc w:val="right"/>
              <w:rPr>
                <w:rFonts w:hAnsi="宋体"/>
                <w:sz w:val="24"/>
              </w:rPr>
            </w:pPr>
            <w:r>
              <w:rPr>
                <w:rFonts w:hint="eastAsia"/>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71</w:t>
            </w:r>
          </w:p>
        </w:tc>
        <w:tc>
          <w:tcPr>
            <w:tcW w:w="3160" w:type="dxa"/>
            <w:noWrap/>
            <w:vAlign w:val="center"/>
          </w:tcPr>
          <w:p>
            <w:pPr>
              <w:rPr>
                <w:rFonts w:hAnsi="宋体"/>
                <w:sz w:val="24"/>
              </w:rPr>
            </w:pPr>
            <w:r>
              <w:rPr>
                <w:rFonts w:hint="eastAsia"/>
              </w:rPr>
              <w:t>EB病毒抗体四项</w:t>
            </w:r>
          </w:p>
        </w:tc>
        <w:tc>
          <w:tcPr>
            <w:tcW w:w="2878" w:type="dxa"/>
            <w:vAlign w:val="center"/>
          </w:tcPr>
          <w:p>
            <w:pPr>
              <w:rPr>
                <w:rFonts w:hAnsi="宋体"/>
                <w:sz w:val="20"/>
                <w:szCs w:val="20"/>
              </w:rPr>
            </w:pPr>
            <w:r>
              <w:rPr>
                <w:rFonts w:hint="eastAsia"/>
                <w:sz w:val="20"/>
                <w:szCs w:val="20"/>
              </w:rPr>
              <w:t>2.4.6白班检测（2-3个工作日）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72</w:t>
            </w:r>
          </w:p>
        </w:tc>
        <w:tc>
          <w:tcPr>
            <w:tcW w:w="3160" w:type="dxa"/>
            <w:noWrap/>
            <w:vAlign w:val="center"/>
          </w:tcPr>
          <w:p>
            <w:pPr>
              <w:rPr>
                <w:rFonts w:hAnsi="宋体"/>
                <w:sz w:val="24"/>
              </w:rPr>
            </w:pPr>
            <w:r>
              <w:rPr>
                <w:rFonts w:hint="eastAsia"/>
              </w:rPr>
              <w:t>生长激素测定</w:t>
            </w:r>
          </w:p>
        </w:tc>
        <w:tc>
          <w:tcPr>
            <w:tcW w:w="2878" w:type="dxa"/>
            <w:vAlign w:val="center"/>
          </w:tcPr>
          <w:p>
            <w:pPr>
              <w:rPr>
                <w:rFonts w:hAnsi="宋体"/>
                <w:sz w:val="24"/>
              </w:rPr>
            </w:pPr>
            <w:r>
              <w:rPr>
                <w:rFonts w:hint="eastAsia"/>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73</w:t>
            </w:r>
          </w:p>
        </w:tc>
        <w:tc>
          <w:tcPr>
            <w:tcW w:w="3160" w:type="dxa"/>
            <w:noWrap/>
            <w:vAlign w:val="center"/>
          </w:tcPr>
          <w:p>
            <w:pPr>
              <w:rPr>
                <w:rFonts w:hAnsi="宋体"/>
                <w:sz w:val="24"/>
              </w:rPr>
            </w:pPr>
            <w:r>
              <w:rPr>
                <w:rFonts w:hint="eastAsia"/>
              </w:rPr>
              <w:t>高血压五项</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 w:val="22"/>
                <w:szCs w:val="22"/>
              </w:rPr>
            </w:pPr>
            <w:r>
              <w:rPr>
                <w:rFonts w:hint="eastAsia" w:hAnsi="宋体"/>
                <w:sz w:val="22"/>
                <w:szCs w:val="22"/>
              </w:rPr>
              <w:t>74</w:t>
            </w:r>
          </w:p>
        </w:tc>
        <w:tc>
          <w:tcPr>
            <w:tcW w:w="3160" w:type="dxa"/>
            <w:noWrap/>
            <w:vAlign w:val="center"/>
          </w:tcPr>
          <w:p>
            <w:r>
              <w:rPr>
                <w:rFonts w:hint="eastAsia"/>
              </w:rPr>
              <w:t>无创DNA</w:t>
            </w:r>
          </w:p>
        </w:tc>
        <w:tc>
          <w:tcPr>
            <w:tcW w:w="2878" w:type="dxa"/>
            <w:vAlign w:val="center"/>
          </w:tcPr>
          <w:p>
            <w:r>
              <w:rPr>
                <w:rFonts w:hint="eastAsia"/>
              </w:rPr>
              <w:t>8个工作日</w:t>
            </w:r>
          </w:p>
        </w:tc>
        <w:tc>
          <w:tcPr>
            <w:tcW w:w="1800" w:type="dxa"/>
            <w:noWrap/>
            <w:vAlign w:val="center"/>
          </w:tcPr>
          <w:p>
            <w:r>
              <w:rPr>
                <w:rFonts w:hint="eastAsia"/>
              </w:rPr>
              <w:t>专用抗凝管</w:t>
            </w:r>
          </w:p>
        </w:tc>
        <w:tc>
          <w:tcPr>
            <w:tcW w:w="1275" w:type="dxa"/>
            <w:noWrap/>
            <w:vAlign w:val="center"/>
          </w:tcPr>
          <w:p>
            <w:pPr>
              <w:jc w:val="right"/>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 w:val="22"/>
                <w:szCs w:val="22"/>
              </w:rPr>
            </w:pPr>
            <w:r>
              <w:rPr>
                <w:rFonts w:hint="eastAsia" w:hAnsi="宋体"/>
                <w:sz w:val="22"/>
                <w:szCs w:val="22"/>
              </w:rPr>
              <w:t>75</w:t>
            </w:r>
          </w:p>
        </w:tc>
        <w:tc>
          <w:tcPr>
            <w:tcW w:w="3160" w:type="dxa"/>
            <w:noWrap/>
            <w:vAlign w:val="center"/>
          </w:tcPr>
          <w:p>
            <w:r>
              <w:rPr>
                <w:rFonts w:hint="eastAsia"/>
              </w:rPr>
              <w:t>氨基酸代谢疾病检测</w:t>
            </w:r>
          </w:p>
        </w:tc>
        <w:tc>
          <w:tcPr>
            <w:tcW w:w="2878" w:type="dxa"/>
            <w:vAlign w:val="center"/>
          </w:tcPr>
          <w:p>
            <w:r>
              <w:rPr>
                <w:rFonts w:hint="eastAsia"/>
              </w:rPr>
              <w:t>5个工作日</w:t>
            </w:r>
          </w:p>
        </w:tc>
        <w:tc>
          <w:tcPr>
            <w:tcW w:w="1800" w:type="dxa"/>
            <w:noWrap/>
            <w:vAlign w:val="center"/>
          </w:tcPr>
          <w:p>
            <w:r>
              <w:rPr>
                <w:rFonts w:hint="eastAsia"/>
              </w:rPr>
              <w:t>专用滤纸</w:t>
            </w:r>
          </w:p>
        </w:tc>
        <w:tc>
          <w:tcPr>
            <w:tcW w:w="1275" w:type="dxa"/>
            <w:noWrap/>
            <w:vAlign w:val="center"/>
          </w:tcPr>
          <w:p>
            <w:pPr>
              <w:jc w:val="right"/>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 w:val="22"/>
                <w:szCs w:val="22"/>
              </w:rPr>
            </w:pPr>
            <w:r>
              <w:rPr>
                <w:rFonts w:hint="eastAsia" w:hAnsi="宋体"/>
                <w:sz w:val="22"/>
                <w:szCs w:val="22"/>
              </w:rPr>
              <w:t>76</w:t>
            </w:r>
          </w:p>
        </w:tc>
        <w:tc>
          <w:tcPr>
            <w:tcW w:w="3160" w:type="dxa"/>
            <w:noWrap/>
            <w:vAlign w:val="center"/>
          </w:tcPr>
          <w:p>
            <w:r>
              <w:rPr>
                <w:rFonts w:hint="eastAsia"/>
              </w:rPr>
              <w:t>人乳头瘤病毒基因分型HPV</w:t>
            </w:r>
          </w:p>
        </w:tc>
        <w:tc>
          <w:tcPr>
            <w:tcW w:w="2878" w:type="dxa"/>
            <w:vAlign w:val="center"/>
          </w:tcPr>
          <w:p>
            <w:r>
              <w:rPr>
                <w:rFonts w:hint="eastAsia"/>
              </w:rPr>
              <w:t>2个工作日</w:t>
            </w:r>
          </w:p>
        </w:tc>
        <w:tc>
          <w:tcPr>
            <w:tcW w:w="1800" w:type="dxa"/>
            <w:noWrap/>
            <w:vAlign w:val="center"/>
          </w:tcPr>
          <w:p>
            <w:r>
              <w:rPr>
                <w:rFonts w:hint="eastAsia"/>
              </w:rPr>
              <w:t>分泌物</w:t>
            </w:r>
          </w:p>
        </w:tc>
        <w:tc>
          <w:tcPr>
            <w:tcW w:w="1275" w:type="dxa"/>
            <w:noWrap/>
            <w:vAlign w:val="center"/>
          </w:tcPr>
          <w:p>
            <w:pPr>
              <w:jc w:val="right"/>
            </w:pPr>
            <w:r>
              <w:rPr>
                <w:rFonts w:hint="eastAsia"/>
              </w:rPr>
              <w:t>340</w:t>
            </w:r>
          </w:p>
        </w:tc>
      </w:tr>
    </w:tbl>
    <w:p>
      <w:pPr>
        <w:pStyle w:val="7"/>
        <w:ind w:firstLine="0"/>
        <w:rPr>
          <w:rFonts w:asciiTheme="minorEastAsia" w:hAnsiTheme="minorEastAsia" w:eastAsiaTheme="minorEastAsia" w:cstheme="minorEastAsia"/>
        </w:rPr>
      </w:pPr>
    </w:p>
    <w:p>
      <w:pPr>
        <w:pStyle w:val="8"/>
        <w:ind w:firstLine="472" w:firstLineChars="196"/>
        <w:rPr>
          <w:rFonts w:asciiTheme="minorEastAsia" w:hAnsiTheme="minorEastAsia" w:eastAsiaTheme="minorEastAsia" w:cstheme="minorEastAsia"/>
        </w:rPr>
      </w:pPr>
      <w:bookmarkStart w:id="88" w:name="_Toc4579"/>
      <w:bookmarkStart w:id="89" w:name="_Toc15427"/>
      <w:r>
        <w:rPr>
          <w:rFonts w:hint="eastAsia" w:asciiTheme="minorEastAsia" w:hAnsiTheme="minorEastAsia" w:eastAsiaTheme="minorEastAsia" w:cstheme="minorEastAsia"/>
        </w:rPr>
        <w:t>三、</w:t>
      </w:r>
      <w:bookmarkEnd w:id="88"/>
      <w:bookmarkEnd w:id="89"/>
      <w:bookmarkStart w:id="90" w:name="_Toc23093"/>
      <w:bookmarkStart w:id="91" w:name="_Toc7485"/>
      <w:r>
        <w:rPr>
          <w:rFonts w:hint="eastAsia" w:asciiTheme="minorEastAsia" w:hAnsiTheme="minorEastAsia" w:eastAsiaTheme="minorEastAsia" w:cstheme="minorEastAsia"/>
        </w:rPr>
        <w:t>验收</w:t>
      </w:r>
      <w:bookmarkEnd w:id="90"/>
      <w:bookmarkEnd w:id="91"/>
      <w:r>
        <w:rPr>
          <w:rFonts w:hint="eastAsia" w:asciiTheme="minorEastAsia" w:hAnsiTheme="minorEastAsia" w:eastAsiaTheme="minorEastAsia" w:cstheme="minorEastAsia"/>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中标人和采购人双方共同实施验收工作，结果和验收报告经双方确认后生效。</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5"/>
        <w:numPr>
          <w:ilvl w:val="0"/>
          <w:numId w:val="1"/>
        </w:numPr>
        <w:rPr>
          <w:rFonts w:asciiTheme="minorEastAsia" w:hAnsiTheme="minorEastAsia" w:eastAsiaTheme="minorEastAsia" w:cstheme="minorEastAsia"/>
        </w:rPr>
      </w:pPr>
      <w:bookmarkStart w:id="92" w:name="_Toc6270"/>
      <w:bookmarkStart w:id="93" w:name="_Toc7241"/>
      <w:bookmarkStart w:id="94" w:name="_Toc431"/>
      <w:bookmarkStart w:id="95" w:name="_Toc3977"/>
      <w:r>
        <w:rPr>
          <w:rFonts w:hint="eastAsia" w:asciiTheme="minorEastAsia" w:hAnsiTheme="minorEastAsia" w:eastAsiaTheme="minorEastAsia" w:cstheme="minorEastAsia"/>
        </w:rPr>
        <w:t>政府采购合同主要条款</w:t>
      </w:r>
      <w:bookmarkEnd w:id="92"/>
      <w:bookmarkEnd w:id="93"/>
      <w:bookmarkEnd w:id="94"/>
      <w:bookmarkEnd w:id="95"/>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第一部分 合同书</w:t>
      </w: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1.1 合同组成部分</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pPr>
        <w:spacing w:line="360" w:lineRule="auto"/>
        <w:ind w:firstLine="437"/>
        <w:outlineLvl w:val="3"/>
        <w:rPr>
          <w:rFonts w:asciiTheme="minorEastAsia" w:hAnsiTheme="minorEastAsia" w:eastAsiaTheme="minorEastAsia" w:cstheme="minorEastAsia"/>
          <w:b/>
          <w:bCs/>
          <w:sz w:val="24"/>
          <w:lang w:val="zh-CN"/>
        </w:rPr>
      </w:pPr>
      <w:bookmarkStart w:id="96" w:name="_Toc18585"/>
      <w:bookmarkStart w:id="97" w:name="_Toc22185"/>
      <w:bookmarkStart w:id="98" w:name="_Toc2918"/>
      <w:bookmarkStart w:id="99" w:name="_Toc6773"/>
      <w:bookmarkStart w:id="100" w:name="_Toc6311"/>
      <w:r>
        <w:rPr>
          <w:rFonts w:hint="eastAsia" w:asciiTheme="minorEastAsia" w:hAnsiTheme="minorEastAsia" w:eastAsiaTheme="minorEastAsia" w:cstheme="minorEastAsia"/>
          <w:b/>
          <w:bCs/>
          <w:sz w:val="24"/>
          <w:lang w:val="zh-CN"/>
        </w:rPr>
        <w:t xml:space="preserve">1.2 </w:t>
      </w:r>
      <w:bookmarkEnd w:id="96"/>
      <w:bookmarkEnd w:id="97"/>
      <w:bookmarkEnd w:id="98"/>
      <w:bookmarkEnd w:id="99"/>
      <w:bookmarkEnd w:id="100"/>
      <w:r>
        <w:rPr>
          <w:rFonts w:hint="eastAsia" w:asciiTheme="minorEastAsia" w:hAnsiTheme="minorEastAsia" w:eastAsiaTheme="minorEastAsia" w:cstheme="minorEastAsia"/>
          <w:b/>
          <w:bCs/>
          <w:sz w:val="24"/>
          <w:lang w:val="zh-CN"/>
        </w:rPr>
        <w:t>服务</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rPr>
        <w:t>费率</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本合同费率为：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%（大写： 百分之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27"/>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892"/>
        <w:gridCol w:w="1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629" w:type="pct"/>
            <w:vAlign w:val="center"/>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pPr>
              <w:ind w:firstLine="200"/>
              <w:jc w:val="center"/>
              <w:rPr>
                <w:rFonts w:asciiTheme="minorEastAsia" w:hAnsiTheme="minorEastAsia" w:eastAsiaTheme="minorEastAsia" w:cstheme="minorEastAsia"/>
                <w:sz w:val="24"/>
              </w:rPr>
            </w:pPr>
          </w:p>
        </w:tc>
      </w:tr>
    </w:tbl>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1.4 付款方式和发票开具方式</w:t>
      </w:r>
    </w:p>
    <w:p>
      <w:pPr>
        <w:spacing w:line="360" w:lineRule="auto"/>
        <w:ind w:firstLine="435"/>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sz w:val="24"/>
        </w:rPr>
        <w:t>1.4.1付款方式：</w:t>
      </w:r>
      <w:r>
        <w:rPr>
          <w:rFonts w:ascii="宋体" w:hAnsi="宋体"/>
          <w:b/>
          <w:bCs/>
          <w:szCs w:val="21"/>
          <w:u w:val="single"/>
        </w:rPr>
        <w:t>中标人提供有效发票后</w:t>
      </w:r>
      <w:r>
        <w:rPr>
          <w:rFonts w:hint="eastAsia" w:ascii="宋体" w:hAnsi="宋体"/>
          <w:b/>
          <w:bCs/>
          <w:szCs w:val="21"/>
          <w:u w:val="single"/>
        </w:rPr>
        <w:t>7工作日内，以实际操作中所需检验项目产生的费用为准</w:t>
      </w:r>
      <w:r>
        <w:rPr>
          <w:rFonts w:ascii="宋体" w:hAnsi="宋体"/>
          <w:b/>
          <w:bCs/>
          <w:szCs w:val="21"/>
          <w:u w:val="single"/>
        </w:rPr>
        <w:t>按月付款</w:t>
      </w:r>
      <w:r>
        <w:rPr>
          <w:rFonts w:hint="eastAsia" w:ascii="宋体" w:hAnsi="宋体"/>
          <w:b/>
          <w:bCs/>
          <w:szCs w:val="21"/>
          <w:u w:val="single"/>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1.5 服务期限、地点和方式</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1.6 违约责任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1.7 合同争议的解决</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pPr>
        <w:tabs>
          <w:tab w:val="left" w:pos="3640"/>
        </w:tabs>
        <w:autoSpaceDE w:val="0"/>
        <w:autoSpaceDN w:val="0"/>
        <w:spacing w:line="440" w:lineRule="exact"/>
        <w:ind w:firstLine="482" w:firstLineChars="200"/>
        <w:rPr>
          <w:rFonts w:hint="default" w:ascii="宋体" w:hAnsi="宋体" w:eastAsia="宋体" w:cs="宋体"/>
          <w:b/>
          <w:color w:val="FF0000"/>
          <w:sz w:val="24"/>
          <w:lang w:val="en-US" w:eastAsia="zh-CN"/>
        </w:rPr>
      </w:pPr>
      <w:r>
        <w:rPr>
          <w:rFonts w:hint="eastAsia" w:asciiTheme="minorEastAsia" w:hAnsiTheme="minorEastAsia" w:eastAsiaTheme="minorEastAsia" w:cstheme="minorEastAsia"/>
          <w:b/>
          <w:bCs/>
          <w:sz w:val="24"/>
          <w:lang w:val="en-US" w:eastAsia="zh-CN"/>
        </w:rPr>
        <w:t xml:space="preserve">1.8 </w:t>
      </w:r>
      <w:r>
        <w:rPr>
          <w:rFonts w:hint="eastAsia" w:asciiTheme="minorEastAsia" w:hAnsiTheme="minorEastAsia" w:eastAsiaTheme="minorEastAsia" w:cstheme="minorEastAsia"/>
          <w:sz w:val="24"/>
          <w:lang w:val="en-US" w:eastAsia="zh-CN"/>
        </w:rPr>
        <w:t>补充条款：</w:t>
      </w:r>
      <w:r>
        <w:rPr>
          <w:rFonts w:hint="eastAsia" w:ascii="宋体" w:hAnsi="宋体" w:cs="宋体"/>
          <w:b/>
          <w:color w:val="FF0000"/>
          <w:sz w:val="24"/>
          <w:lang w:val="en-US" w:eastAsia="zh-CN"/>
        </w:rPr>
        <w:t>如乙方在合同有效期内为甲方提供优质服务的，经双方同意，则甲方可与乙方续签合同，但不得超过一年</w:t>
      </w:r>
      <w:r>
        <w:rPr>
          <w:rFonts w:hint="eastAsia" w:ascii="宋体" w:hAnsi="宋体" w:cs="宋体"/>
          <w:b/>
          <w:color w:val="FF0000"/>
          <w:sz w:val="24"/>
        </w:rPr>
        <w:t>。</w:t>
      </w:r>
      <w:r>
        <w:rPr>
          <w:rFonts w:hint="eastAsia" w:ascii="宋体" w:hAnsi="宋体" w:cs="宋体"/>
          <w:b/>
          <w:color w:val="FF0000"/>
          <w:sz w:val="24"/>
          <w:lang w:val="en-US" w:eastAsia="zh-CN"/>
        </w:rPr>
        <w:t>续签时的合同价款经双方协定，且不得高于第一年的合同金额。</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lang w:val="en-US" w:eastAsia="zh-CN"/>
        </w:rPr>
        <w:t>9</w:t>
      </w:r>
      <w:r>
        <w:rPr>
          <w:rFonts w:hint="eastAsia" w:asciiTheme="minorEastAsia" w:hAnsiTheme="minorEastAsia" w:eastAsiaTheme="minorEastAsia" w:cstheme="minorEastAsia"/>
          <w:b/>
          <w:bCs/>
          <w:sz w:val="24"/>
          <w:lang w:val="zh-CN"/>
        </w:rPr>
        <w:t>合同生效</w:t>
      </w:r>
    </w:p>
    <w:p>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pPr>
        <w:pStyle w:val="44"/>
        <w:rPr>
          <w:rFonts w:hint="default" w:eastAsiaTheme="minorEastAsia"/>
          <w:lang w:val="en-US" w:eastAsia="zh-CN"/>
        </w:rPr>
      </w:pPr>
      <w:bookmarkStart w:id="118" w:name="_GoBack"/>
      <w:bookmarkEnd w:id="118"/>
    </w:p>
    <w:p>
      <w:pPr>
        <w:pStyle w:val="44"/>
        <w:rPr>
          <w:rFonts w:hint="default" w:eastAsiaTheme="minorEastAsia"/>
          <w:lang w:val="en-US" w:eastAsia="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第二部分 合同一般条款</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 定义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本合同中的下列词语应按以下内容进行解释：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2.1.1“合同”系指采购人和中标人签订的载明双方当事人所达成的协议，并包括所有的附件、附录和构成合同的其他文件。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2.1.2“合同价”系指根据合同约定，中标人在完全履行合同义务后，采购人应支付给中标人的价格。</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2.1.4“甲方”系指与中标人签署合同的采购人；采购人委托采购代理机构代表其与乙方签订合同的，采购人的授权委托书作为合同附件。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2.1.6“现场”系指合同约定提供服务的地点。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2.2 技术规范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2.3 知识产权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2.3.2具有知识产权的计算机软件等货物的知识产权归属，详见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2.4 履约检查和问题反馈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2.4.2合同履行期间，甲方有权将履行过程中出现的问题反馈给乙方，双方当事人应以书面形式约定需要完善和改进的内容。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2.5 结算方式和付款条件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2.6 技术资料和保密义务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2.6.1乙方有权依据合同约定和项目需要，向甲方了解有关情况，调阅有关资料等，甲方应予积极配合；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2.6.2乙方有义务妥善保管和保护由甲方提供的前款信息和资料等；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2.7 质量保证</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asciiTheme="minorEastAsia" w:hAnsiTheme="minorEastAsia" w:eastAsiaTheme="minorEastAsia" w:cstheme="minorEastAsia"/>
          <w:b/>
          <w:sz w:val="24"/>
        </w:rPr>
      </w:pPr>
      <w:bookmarkStart w:id="101" w:name="_Toc22267"/>
      <w:r>
        <w:rPr>
          <w:rFonts w:hint="eastAsia" w:asciiTheme="minorEastAsia" w:hAnsiTheme="minorEastAsia" w:eastAsiaTheme="minorEastAsia" w:cstheme="minorEastAsia"/>
          <w:b/>
          <w:sz w:val="24"/>
        </w:rPr>
        <w:t>2.8 延迟履行</w:t>
      </w:r>
      <w:bookmarkEnd w:id="101"/>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2.9 合同变更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2.10 合同转让和分包</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2.11 不可抗力</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2.11.1如果任何一方遭遇法律规定的不可抗力，致使合同履行受阻时，履行合同的期限应予延长，延长的期限应相当于不可抗力所影响的时间；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2.11.2因不可抗力致使不能实现合同目的的，当事人可以解除合同；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2.11.3因不可抗力致使合同有变更必要的，双方当事人应在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约定时间内以书面形式变更合同；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2.11.4受不可抗力影响的一方在不可抗力发生后，应在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约定时间内以书面形式通知对方当事人，并在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约定时间内，将有关部门出具的证明文件送达对方当事人。</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2.12 税费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与合同有关的一切税费，均按照中华人民共和国法律的相关规定缴纳。</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2.13 乙方破产</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2.14 合同中止、终止</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2.14.1双方当事人不得擅自中止或者终止合同；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2.15 检验和验收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2.15.1乙方按照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的约定，定期提交服务报告，甲方按照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的约定进行定期验收；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2.15.3检验和验收标准、程序等具体内容以及前述验收书的效力详见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i/>
          <w:sz w:val="24"/>
        </w:rPr>
        <w:t>。</w:t>
      </w:r>
    </w:p>
    <w:p>
      <w:pPr>
        <w:spacing w:line="360" w:lineRule="auto"/>
        <w:ind w:firstLine="437"/>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2.16 </w:t>
      </w:r>
      <w:r>
        <w:rPr>
          <w:rFonts w:hint="eastAsia" w:asciiTheme="minorEastAsia" w:hAnsiTheme="minorEastAsia" w:eastAsiaTheme="minorEastAsia" w:cstheme="minorEastAsia"/>
          <w:b/>
          <w:bCs/>
          <w:sz w:val="24"/>
          <w:lang w:val="zh-CN"/>
        </w:rPr>
        <w:t>合同使用的文字和适用的法律</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2.16.1合同使用汉语书就、变更和解释；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2.16.2合同适用中华人民共和国法律。</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2.17 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2.17.1采购文件要求乙方提交履约保证金的，乙方应按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约定的方式，以支票、汇票、本票或者金融机构、担保机构出具的保函等非现金形式，提交不超过合同价10%的履约保证金；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2.17.2履约保证金在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约定期间内不予退还或者应完全有效，前述约定期间届满之日起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个工作日内，甲方应将履约保证金退还乙方；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2.18 合同份数</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合同份数按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规定，每份均具有同等法律效力。</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第三部分 合同专用条款</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3"/>
        <w:gridCol w:w="8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4525"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5"/>
        <w:numPr>
          <w:ilvl w:val="0"/>
          <w:numId w:val="1"/>
        </w:numPr>
        <w:rPr>
          <w:rFonts w:asciiTheme="minorEastAsia" w:hAnsiTheme="minorEastAsia" w:eastAsiaTheme="minorEastAsia" w:cstheme="minorEastAsia"/>
        </w:rPr>
      </w:pPr>
      <w:bookmarkStart w:id="102" w:name="_Toc23354"/>
      <w:bookmarkStart w:id="103" w:name="_Toc26873"/>
      <w:bookmarkStart w:id="104" w:name="_Toc4222"/>
      <w:bookmarkStart w:id="105" w:name="_Toc4293"/>
      <w:r>
        <w:rPr>
          <w:rFonts w:hint="eastAsia" w:asciiTheme="minorEastAsia" w:hAnsiTheme="minorEastAsia" w:eastAsiaTheme="minorEastAsia" w:cstheme="minorEastAsia"/>
        </w:rPr>
        <w:t>投标文件格式</w:t>
      </w:r>
      <w:bookmarkEnd w:id="102"/>
      <w:bookmarkEnd w:id="103"/>
      <w:bookmarkEnd w:id="104"/>
      <w:bookmarkEnd w:id="105"/>
    </w:p>
    <w:p>
      <w:pPr>
        <w:spacing w:line="360" w:lineRule="auto"/>
        <w:jc w:val="center"/>
        <w:rPr>
          <w:rFonts w:asciiTheme="minorEastAsia" w:hAnsiTheme="minorEastAsia" w:eastAsiaTheme="minorEastAsia" w:cstheme="minorEastAsia"/>
          <w:b/>
          <w:spacing w:val="20"/>
          <w:sz w:val="36"/>
          <w:szCs w:val="36"/>
          <w:u w:val="single"/>
        </w:rPr>
      </w:pPr>
    </w:p>
    <w:p>
      <w:pPr>
        <w:spacing w:line="360" w:lineRule="auto"/>
        <w:jc w:val="center"/>
        <w:rPr>
          <w:rFonts w:asciiTheme="minorEastAsia" w:hAnsiTheme="minorEastAsia" w:eastAsiaTheme="minorEastAsia" w:cstheme="minorEastAsia"/>
          <w:b/>
          <w:spacing w:val="20"/>
          <w:sz w:val="36"/>
          <w:szCs w:val="36"/>
        </w:rPr>
      </w:pPr>
      <w:r>
        <w:rPr>
          <w:rFonts w:hint="eastAsia" w:asciiTheme="minorEastAsia" w:hAnsiTheme="minorEastAsia" w:eastAsiaTheme="minorEastAsia" w:cstheme="minorEastAsia"/>
          <w:b/>
          <w:spacing w:val="20"/>
          <w:sz w:val="36"/>
          <w:szCs w:val="36"/>
          <w:u w:val="single"/>
        </w:rPr>
        <w:t xml:space="preserve">                          </w:t>
      </w:r>
      <w:r>
        <w:rPr>
          <w:rFonts w:hint="eastAsia" w:asciiTheme="minorEastAsia" w:hAnsiTheme="minorEastAsia" w:eastAsiaTheme="minorEastAsia" w:cstheme="minorEastAsia"/>
          <w:b/>
          <w:spacing w:val="20"/>
          <w:sz w:val="36"/>
          <w:szCs w:val="36"/>
        </w:rPr>
        <w:t>（项目名称）</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投</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30"/>
          <w:szCs w:val="30"/>
        </w:rPr>
      </w:pPr>
    </w:p>
    <w:p>
      <w:pPr>
        <w:spacing w:line="360" w:lineRule="auto"/>
        <w:ind w:firstLine="148" w:firstLineChars="49"/>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投标人名称：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30"/>
          <w:szCs w:val="30"/>
        </w:rPr>
      </w:pPr>
    </w:p>
    <w:p>
      <w:pPr>
        <w:spacing w:line="360" w:lineRule="auto"/>
        <w:rPr>
          <w:rFonts w:asciiTheme="minorEastAsia" w:hAnsiTheme="minorEastAsia" w:eastAsiaTheme="minorEastAsia" w:cstheme="minorEastAsia"/>
          <w:sz w:val="30"/>
          <w:szCs w:val="30"/>
        </w:rPr>
      </w:pPr>
    </w:p>
    <w:p>
      <w:pPr>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日期：</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月</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日</w:t>
      </w:r>
    </w:p>
    <w:p>
      <w:pPr>
        <w:spacing w:line="360" w:lineRule="auto"/>
        <w:jc w:val="center"/>
        <w:rPr>
          <w:rFonts w:asciiTheme="minorEastAsia" w:hAnsiTheme="minorEastAsia" w:eastAsiaTheme="minorEastAsia" w:cstheme="minorEastAsia"/>
          <w:b/>
          <w:sz w:val="30"/>
          <w:szCs w:val="30"/>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pStyle w:val="44"/>
      </w:pPr>
    </w:p>
    <w:p>
      <w:pPr>
        <w:spacing w:line="360" w:lineRule="auto"/>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目 录</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一、投标函及开标一览表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二、分项报价表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三、投标响应表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四、服务方案</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五、诚信投标承诺书</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六、中小企业声明函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七、残疾人福利性单位声明函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八、资格证明文件</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pStyle w:val="44"/>
      </w:pPr>
    </w:p>
    <w:p>
      <w:pPr>
        <w:pStyle w:val="8"/>
        <w:jc w:val="center"/>
      </w:pPr>
      <w:bookmarkStart w:id="106" w:name="_Toc13905"/>
      <w:bookmarkStart w:id="107" w:name="_Toc481873158"/>
      <w:r>
        <w:rPr>
          <w:rFonts w:hint="eastAsia"/>
        </w:rPr>
        <w:t>一、投标函</w:t>
      </w:r>
      <w:bookmarkEnd w:id="106"/>
      <w:bookmarkEnd w:id="107"/>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（采购人名称）</w:t>
      </w:r>
    </w:p>
    <w:p>
      <w:pPr>
        <w:pStyle w:val="15"/>
        <w:tabs>
          <w:tab w:val="left" w:pos="5580"/>
        </w:tabs>
        <w:spacing w:line="360" w:lineRule="auto"/>
        <w:ind w:firstLine="420" w:firstLineChars="200"/>
        <w:rPr>
          <w:rFonts w:hAnsi="宋体"/>
          <w:szCs w:val="21"/>
        </w:rPr>
      </w:pPr>
      <w:r>
        <w:rPr>
          <w:rFonts w:hint="eastAsia" w:hAnsi="宋体"/>
          <w:szCs w:val="21"/>
        </w:rPr>
        <w:t>1、根据贵方</w:t>
      </w:r>
      <w:r>
        <w:rPr>
          <w:rFonts w:hint="eastAsia" w:hAnsi="宋体"/>
          <w:szCs w:val="21"/>
          <w:u w:val="single"/>
        </w:rPr>
        <w:t xml:space="preserve">          </w:t>
      </w:r>
      <w:r>
        <w:rPr>
          <w:rFonts w:hint="eastAsia" w:hAnsi="宋体"/>
          <w:szCs w:val="21"/>
        </w:rPr>
        <w:t>招标公告，我方决定参加贵方组织的</w:t>
      </w:r>
      <w:r>
        <w:rPr>
          <w:rFonts w:hint="eastAsia" w:hAnsi="宋体"/>
          <w:szCs w:val="21"/>
          <w:u w:val="single"/>
        </w:rPr>
        <w:t xml:space="preserve">                       </w:t>
      </w:r>
      <w:r>
        <w:rPr>
          <w:rFonts w:hint="eastAsia" w:hAnsi="宋体"/>
          <w:szCs w:val="21"/>
        </w:rPr>
        <w:t>项目的招标采购活动。我方授权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（投标人的名称）全权处理本项目投标的有关事宜。</w:t>
      </w:r>
    </w:p>
    <w:p>
      <w:pPr>
        <w:pStyle w:val="15"/>
        <w:tabs>
          <w:tab w:val="left" w:pos="5580"/>
        </w:tabs>
        <w:spacing w:line="360" w:lineRule="auto"/>
        <w:ind w:firstLine="420" w:firstLineChars="200"/>
        <w:rPr>
          <w:rFonts w:hAnsi="宋体"/>
          <w:szCs w:val="21"/>
        </w:rPr>
      </w:pPr>
      <w:r>
        <w:rPr>
          <w:rFonts w:hint="eastAsia" w:hAnsi="宋体"/>
          <w:szCs w:val="21"/>
        </w:rPr>
        <w:t>2、我方愿意按照招标文件规定的各项要求，向采购人提供所需的服务，投标费率（大写）为 百分之</w:t>
      </w:r>
      <w:r>
        <w:rPr>
          <w:rFonts w:hint="eastAsia" w:hAnsi="宋体"/>
          <w:szCs w:val="21"/>
          <w:u w:val="single"/>
        </w:rPr>
        <w:t xml:space="preserve">                        </w:t>
      </w:r>
      <w:r>
        <w:rPr>
          <w:rFonts w:hint="eastAsia" w:hAnsi="宋体"/>
          <w:szCs w:val="21"/>
        </w:rPr>
        <w:t>(小写)</w:t>
      </w:r>
      <w:r>
        <w:rPr>
          <w:rFonts w:hint="eastAsia" w:hAnsi="宋体"/>
          <w:szCs w:val="21"/>
          <w:u w:val="single"/>
        </w:rPr>
        <w:t xml:space="preserve">                 </w:t>
      </w:r>
      <w:r>
        <w:rPr>
          <w:rFonts w:hint="eastAsia" w:hAnsi="宋体"/>
          <w:szCs w:val="21"/>
        </w:rPr>
        <w:t xml:space="preserve"> %。</w:t>
      </w:r>
    </w:p>
    <w:p>
      <w:pPr>
        <w:pStyle w:val="15"/>
        <w:tabs>
          <w:tab w:val="left" w:pos="5580"/>
        </w:tabs>
        <w:spacing w:line="360" w:lineRule="auto"/>
        <w:ind w:firstLine="420" w:firstLineChars="200"/>
        <w:rPr>
          <w:rFonts w:hAnsi="宋体"/>
          <w:szCs w:val="21"/>
        </w:rPr>
      </w:pPr>
      <w:r>
        <w:rPr>
          <w:rFonts w:hint="eastAsia" w:hAnsi="宋体"/>
          <w:szCs w:val="21"/>
        </w:rPr>
        <w:t>3、一旦我方中标，我方将严格履行合同规定的责任和义务，保证该项目的服务期为自合同签订之日起</w:t>
      </w:r>
      <w:r>
        <w:rPr>
          <w:rFonts w:hint="eastAsia" w:hAnsi="宋体"/>
          <w:szCs w:val="21"/>
          <w:u w:val="single"/>
        </w:rPr>
        <w:t xml:space="preserve">     </w:t>
      </w:r>
      <w:r>
        <w:rPr>
          <w:rFonts w:hint="eastAsia" w:hAnsi="宋体"/>
          <w:szCs w:val="21"/>
        </w:rPr>
        <w:t>月。</w:t>
      </w:r>
    </w:p>
    <w:p>
      <w:pPr>
        <w:pStyle w:val="15"/>
        <w:tabs>
          <w:tab w:val="left" w:pos="5580"/>
        </w:tabs>
        <w:spacing w:line="360" w:lineRule="auto"/>
        <w:ind w:firstLine="417" w:firstLineChars="199"/>
        <w:rPr>
          <w:rFonts w:hAnsi="宋体"/>
          <w:szCs w:val="21"/>
        </w:rPr>
      </w:pPr>
      <w:r>
        <w:rPr>
          <w:rFonts w:hint="eastAsia" w:hAnsi="宋体"/>
          <w:szCs w:val="21"/>
        </w:rPr>
        <w:t>4、我方保证按照本项目招标文件要求提交投标文件。</w:t>
      </w:r>
    </w:p>
    <w:p>
      <w:pPr>
        <w:pStyle w:val="15"/>
        <w:tabs>
          <w:tab w:val="left" w:pos="5580"/>
        </w:tabs>
        <w:spacing w:line="360" w:lineRule="auto"/>
        <w:ind w:firstLine="417" w:firstLineChars="199"/>
        <w:rPr>
          <w:rFonts w:hAnsi="宋体"/>
          <w:szCs w:val="21"/>
        </w:rPr>
      </w:pPr>
      <w:r>
        <w:rPr>
          <w:rFonts w:hint="eastAsia" w:hAnsi="宋体"/>
          <w:szCs w:val="21"/>
        </w:rPr>
        <w:t>5、我方愿意提供贵方可能另外要求的、与投标有关的文件资料，并保证我方已提供和将要提供的文件是真实的、准确的。</w:t>
      </w:r>
    </w:p>
    <w:p>
      <w:pPr>
        <w:pStyle w:val="15"/>
        <w:tabs>
          <w:tab w:val="left" w:pos="5580"/>
        </w:tabs>
        <w:spacing w:line="360" w:lineRule="auto"/>
        <w:ind w:firstLine="417" w:firstLineChars="199"/>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480" w:lineRule="auto"/>
        <w:ind w:right="360" w:firstLine="3570" w:firstLineChars="1700"/>
        <w:rPr>
          <w:rFonts w:hAnsi="宋体"/>
          <w:szCs w:val="21"/>
          <w:u w:val="single"/>
        </w:rPr>
      </w:pPr>
      <w:r>
        <w:rPr>
          <w:rFonts w:hint="eastAsia" w:hAnsi="宋体"/>
          <w:szCs w:val="21"/>
        </w:rPr>
        <w:t>投标人：</w:t>
      </w:r>
      <w:r>
        <w:rPr>
          <w:rFonts w:hint="eastAsia" w:hAnsi="宋体"/>
          <w:szCs w:val="21"/>
          <w:u w:val="single"/>
        </w:rPr>
        <w:t xml:space="preserve">                           （盖章）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法定代表人：</w:t>
      </w:r>
      <w:r>
        <w:rPr>
          <w:rFonts w:hint="eastAsia" w:hAnsi="宋体"/>
          <w:szCs w:val="21"/>
          <w:u w:val="single"/>
        </w:rPr>
        <w:t xml:space="preserve">                        （盖章）</w:t>
      </w:r>
    </w:p>
    <w:p>
      <w:pPr>
        <w:pStyle w:val="15"/>
        <w:tabs>
          <w:tab w:val="left" w:pos="5580"/>
        </w:tabs>
        <w:spacing w:line="480" w:lineRule="auto"/>
        <w:ind w:firstLine="3570" w:firstLineChars="1700"/>
        <w:rPr>
          <w:rFonts w:hAnsi="宋体"/>
          <w:szCs w:val="21"/>
        </w:rPr>
      </w:pPr>
      <w:r>
        <w:rPr>
          <w:rFonts w:hint="eastAsia" w:hAnsi="宋体"/>
          <w:szCs w:val="21"/>
        </w:rPr>
        <w:t>日期：       年      月      日</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44"/>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8"/>
        <w:jc w:val="center"/>
      </w:pPr>
      <w:bookmarkStart w:id="108" w:name="_Toc481873159"/>
      <w:bookmarkStart w:id="109" w:name="_Toc12161"/>
      <w:r>
        <w:rPr>
          <w:rFonts w:hint="eastAsia"/>
        </w:rPr>
        <w:t>二、服务报价表</w:t>
      </w:r>
      <w:bookmarkEnd w:id="108"/>
      <w:bookmarkEnd w:id="109"/>
    </w:p>
    <w:p>
      <w:pPr>
        <w:spacing w:line="360" w:lineRule="auto"/>
        <w:rPr>
          <w:rFonts w:ascii="宋体" w:hAnsi="宋体"/>
          <w:szCs w:val="21"/>
        </w:rPr>
      </w:pPr>
      <w:r>
        <w:rPr>
          <w:rFonts w:hint="eastAsia" w:ascii="宋体" w:hAnsi="宋体"/>
          <w:szCs w:val="21"/>
        </w:rPr>
        <w:t xml:space="preserve">项目名称：                                                            </w:t>
      </w:r>
    </w:p>
    <w:tbl>
      <w:tblPr>
        <w:tblStyle w:val="27"/>
        <w:tblW w:w="8694" w:type="dxa"/>
        <w:jc w:val="center"/>
        <w:tblLayout w:type="fixed"/>
        <w:tblCellMar>
          <w:top w:w="0" w:type="dxa"/>
          <w:left w:w="108" w:type="dxa"/>
          <w:bottom w:w="0" w:type="dxa"/>
          <w:right w:w="108" w:type="dxa"/>
        </w:tblCellMar>
      </w:tblPr>
      <w:tblGrid>
        <w:gridCol w:w="898"/>
        <w:gridCol w:w="3546"/>
        <w:gridCol w:w="1701"/>
        <w:gridCol w:w="2549"/>
      </w:tblGrid>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序号</w:t>
            </w:r>
          </w:p>
        </w:tc>
        <w:tc>
          <w:tcPr>
            <w:tcW w:w="354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szCs w:val="21"/>
              </w:rPr>
              <w:t>服务期内检查项目名称</w:t>
            </w:r>
          </w:p>
        </w:tc>
        <w:tc>
          <w:tcPr>
            <w:tcW w:w="1701"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投标费率（%）</w:t>
            </w:r>
          </w:p>
        </w:tc>
        <w:tc>
          <w:tcPr>
            <w:tcW w:w="2549"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供货价格（单价/元）</w:t>
            </w: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r>
    </w:tbl>
    <w:p>
      <w:pPr>
        <w:spacing w:line="360" w:lineRule="auto"/>
        <w:rPr>
          <w:rFonts w:ascii="宋体" w:hAnsi="宋体"/>
          <w:szCs w:val="21"/>
        </w:rPr>
      </w:pPr>
    </w:p>
    <w:p>
      <w:pPr>
        <w:spacing w:line="360" w:lineRule="auto"/>
        <w:ind w:firstLine="105" w:firstLineChars="50"/>
        <w:rPr>
          <w:rFonts w:ascii="宋体" w:hAnsi="宋体"/>
          <w:b/>
          <w:bCs/>
        </w:rPr>
      </w:pPr>
      <w:r>
        <w:rPr>
          <w:rFonts w:hint="eastAsia" w:ascii="宋体" w:hAnsi="宋体"/>
          <w:b/>
          <w:bCs/>
        </w:rPr>
        <w:t>注：1、投标人在此表中所列的服务期内所列的检查项目名称须与服务内容及质量要求响应表中所列一致，所有产品投标费率须保持一致。</w:t>
      </w:r>
    </w:p>
    <w:p>
      <w:pPr>
        <w:pStyle w:val="13"/>
        <w:spacing w:before="156"/>
        <w:ind w:left="0" w:leftChars="0" w:right="1470" w:firstLine="422" w:firstLineChars="200"/>
      </w:pPr>
      <w:r>
        <w:rPr>
          <w:rFonts w:hint="eastAsia" w:ascii="宋体" w:hAnsi="宋体"/>
          <w:b/>
          <w:bCs/>
        </w:rPr>
        <w:t>2、</w:t>
      </w:r>
      <w:r>
        <w:rPr>
          <w:rFonts w:hint="eastAsia"/>
          <w:b/>
          <w:szCs w:val="21"/>
        </w:rPr>
        <w:t>最高限价（单价）×中标费率=供货价格（单价）。</w:t>
      </w: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rPr>
          <w:szCs w:val="21"/>
        </w:rPr>
      </w:pPr>
    </w:p>
    <w:p>
      <w:pPr>
        <w:pStyle w:val="8"/>
        <w:jc w:val="center"/>
      </w:pPr>
      <w:bookmarkStart w:id="110" w:name="_Toc28153"/>
      <w:bookmarkStart w:id="111" w:name="_Toc481873160"/>
      <w:r>
        <w:rPr>
          <w:rFonts w:hint="eastAsia"/>
        </w:rPr>
        <w:t>三、</w:t>
      </w:r>
      <w:bookmarkEnd w:id="110"/>
      <w:r>
        <w:rPr>
          <w:rFonts w:hint="eastAsia" w:hAnsi="宋体" w:cs="宋体"/>
        </w:rPr>
        <w:t>服务内容及质量要求响应表</w:t>
      </w:r>
      <w:bookmarkEnd w:id="111"/>
    </w:p>
    <w:p>
      <w:pPr>
        <w:spacing w:line="360" w:lineRule="auto"/>
        <w:rPr>
          <w:rFonts w:ascii="宋体" w:hAnsi="宋体"/>
          <w:b/>
          <w:szCs w:val="21"/>
        </w:rPr>
      </w:pPr>
      <w:r>
        <w:rPr>
          <w:rFonts w:hint="eastAsia" w:ascii="宋体" w:hAnsi="宋体"/>
          <w:szCs w:val="21"/>
        </w:rPr>
        <w:t>项目名称：</w:t>
      </w:r>
    </w:p>
    <w:tbl>
      <w:tblPr>
        <w:tblStyle w:val="27"/>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3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239" w:type="dxa"/>
            <w:vAlign w:val="center"/>
          </w:tcPr>
          <w:p>
            <w:pPr>
              <w:spacing w:line="360" w:lineRule="auto"/>
              <w:jc w:val="center"/>
              <w:rPr>
                <w:rFonts w:ascii="宋体" w:hAnsi="宋体" w:cs="宋体"/>
                <w:szCs w:val="21"/>
              </w:rPr>
            </w:pPr>
            <w:r>
              <w:rPr>
                <w:rFonts w:hint="eastAsia" w:ascii="宋体" w:hAnsi="宋体" w:cs="宋体"/>
                <w:szCs w:val="21"/>
              </w:rPr>
              <w:t>投标服务内容质量要求</w:t>
            </w:r>
          </w:p>
        </w:tc>
        <w:tc>
          <w:tcPr>
            <w:tcW w:w="2209"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bl>
    <w:p>
      <w:pPr>
        <w:spacing w:line="360" w:lineRule="auto"/>
        <w:ind w:firstLine="422" w:firstLineChars="200"/>
        <w:rPr>
          <w:rFonts w:ascii="宋体" w:hAnsi="宋体"/>
          <w:szCs w:val="21"/>
        </w:rPr>
      </w:pPr>
      <w:r>
        <w:rPr>
          <w:rFonts w:ascii="宋体" w:hAnsi="宋体" w:cs="Arial"/>
          <w:b/>
          <w:szCs w:val="21"/>
        </w:rPr>
        <w:t>注：</w:t>
      </w:r>
      <w:r>
        <w:rPr>
          <w:rFonts w:ascii="宋体" w:hAnsi="宋体" w:cs="Arial"/>
          <w:szCs w:val="21"/>
        </w:rPr>
        <w:t>1、投标</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r>
        <w:rPr>
          <w:rFonts w:hint="eastAsia" w:ascii="宋体" w:hAnsi="宋体"/>
          <w:szCs w:val="21"/>
        </w:rPr>
        <w:t>投标人必须依据第三章“服务需求及技术要求”填写以上表格，项目概况除外。</w:t>
      </w:r>
    </w:p>
    <w:p>
      <w:pPr>
        <w:tabs>
          <w:tab w:val="left" w:pos="1815"/>
        </w:tabs>
        <w:spacing w:line="360" w:lineRule="auto"/>
        <w:ind w:left="1" w:firstLine="417" w:firstLineChars="199"/>
        <w:rPr>
          <w:rFonts w:ascii="宋体" w:hAnsi="宋体" w:cs="Arial"/>
          <w:szCs w:val="21"/>
        </w:rPr>
      </w:pPr>
      <w:r>
        <w:rPr>
          <w:rFonts w:ascii="宋体" w:hAnsi="宋体" w:cs="Arial"/>
          <w:szCs w:val="21"/>
        </w:rPr>
        <w:t>2、投标</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宋体"/>
          <w:b/>
          <w:bCs/>
        </w:rPr>
        <w:t>服务需求及技术要求</w:t>
      </w:r>
      <w:r>
        <w:rPr>
          <w:rFonts w:ascii="宋体" w:hAnsi="宋体" w:cs="Arial"/>
          <w:szCs w:val="21"/>
        </w:rPr>
        <w:t>”的差异情况，实事求是地填写“响应情况”（优于、满足、不满足） 。</w:t>
      </w: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pStyle w:val="8"/>
        <w:jc w:val="center"/>
        <w:rPr>
          <w:bdr w:val="single" w:color="auto" w:sz="4" w:space="0"/>
        </w:rPr>
      </w:pPr>
      <w:bookmarkStart w:id="112" w:name="_Toc2920"/>
      <w:bookmarkStart w:id="113" w:name="_Toc481873161"/>
      <w:r>
        <w:rPr>
          <w:rFonts w:hint="eastAsia"/>
        </w:rPr>
        <w:t>四、服务方案</w:t>
      </w:r>
      <w:bookmarkEnd w:id="112"/>
      <w:bookmarkEnd w:id="113"/>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投标人依据第三章“服务需求及技术要求”并结合评分细则的要求自行提供。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3、服务保证及服务承诺</w:t>
      </w:r>
    </w:p>
    <w:p>
      <w:pPr>
        <w:spacing w:line="360" w:lineRule="auto"/>
        <w:ind w:firstLine="420" w:firstLineChars="200"/>
        <w:rPr>
          <w:rFonts w:ascii="宋体" w:hAnsi="宋体"/>
          <w:szCs w:val="21"/>
        </w:rPr>
      </w:pPr>
      <w:r>
        <w:rPr>
          <w:rFonts w:hint="eastAsia" w:ascii="宋体" w:hAnsi="宋体"/>
          <w:szCs w:val="21"/>
        </w:rPr>
        <w:t>4、投标人认为需要提供的其他资料</w:t>
      </w: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pStyle w:val="44"/>
        <w:rPr>
          <w:rFonts w:ascii="仿宋" w:hAnsi="仿宋" w:eastAsia="仿宋"/>
        </w:rPr>
      </w:pPr>
    </w:p>
    <w:p>
      <w:pPr>
        <w:pStyle w:val="44"/>
        <w:rPr>
          <w:rFonts w:ascii="仿宋" w:hAnsi="仿宋" w:eastAsia="仿宋"/>
        </w:rPr>
      </w:pPr>
    </w:p>
    <w:p>
      <w:pPr>
        <w:pStyle w:val="44"/>
        <w:rPr>
          <w:rFonts w:ascii="仿宋" w:hAnsi="仿宋" w:eastAsia="仿宋"/>
        </w:rPr>
      </w:pPr>
    </w:p>
    <w:p>
      <w:pPr>
        <w:pStyle w:val="44"/>
        <w:rPr>
          <w:rFonts w:ascii="仿宋" w:hAnsi="仿宋" w:eastAsia="仿宋"/>
        </w:rPr>
      </w:pPr>
    </w:p>
    <w:p>
      <w:pPr>
        <w:spacing w:line="360" w:lineRule="auto"/>
        <w:rPr>
          <w:rFonts w:ascii="仿宋" w:hAnsi="仿宋" w:eastAsia="仿宋"/>
          <w:szCs w:val="21"/>
        </w:rPr>
      </w:pPr>
    </w:p>
    <w:p>
      <w:pPr>
        <w:pStyle w:val="8"/>
        <w:jc w:val="center"/>
      </w:pPr>
      <w:bookmarkStart w:id="114" w:name="_Toc25547"/>
      <w:bookmarkStart w:id="115" w:name="_Toc481873162"/>
      <w:r>
        <w:rPr>
          <w:rFonts w:hint="eastAsia"/>
        </w:rPr>
        <w:t>五、诚信投标承诺书</w:t>
      </w:r>
      <w:bookmarkEnd w:id="114"/>
      <w:bookmarkEnd w:id="115"/>
    </w:p>
    <w:p>
      <w:pPr>
        <w:rPr>
          <w:rFonts w:ascii="仿宋" w:hAnsi="仿宋" w:eastAsia="仿宋" w:cs="仿宋"/>
          <w:b/>
          <w:bCs/>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项目的投标；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三、不出借、转让资质证书，不让他人挂靠投标，不以他人名义投标或者以其他方式弄虚作假，骗取中标；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四、不与其他供应商相互串通投标报价，不排挤其他供应商的公平竞争、损害采购人的合法权益；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五、不与采购单位或其他供应商串通投标，损害国家利益、社会公共利益或者他人的合法权益；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六、保证中标后不转包，若有合法分包征得采购人同意；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七、保证中标之后，按照投标文件承诺提供货物、服务及派驻人员；</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八、保证企业及所属相关人员在本次投标中无行贿等犯罪行为；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九、我单位在安徽省公共资源交易市场主体库中录入的信息真实，无编造虚假信息。一旦发现弄虚作假将按《诚信投标承诺书》和有关法律法规中的规定接受处理。</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十、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十一、我方保证对本次招标活动有任何疑问或投诉，都依法在规定的时间内提出。否则，不针对本次招标活动提出任何质疑或投诉。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以上内容我已仔细阅读，本公司若有违反承诺内容的行为，自愿承担招标文件确定的责任和法律责任并接受采购人和相关行政部门给予的处理和处罚。给采购人造成损失的，依法承担赔偿责任。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投标单位（盖章）：</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法定代表人（盖章）：</w:t>
      </w:r>
    </w:p>
    <w:p>
      <w:pPr>
        <w:spacing w:line="360" w:lineRule="auto"/>
        <w:ind w:right="480"/>
        <w:jc w:val="right"/>
        <w:rPr>
          <w:rFonts w:ascii="仿宋" w:hAnsi="仿宋" w:eastAsia="仿宋" w:cs="仿宋"/>
          <w:b/>
          <w:bCs/>
          <w:sz w:val="24"/>
        </w:rPr>
      </w:pPr>
      <w:r>
        <w:rPr>
          <w:rFonts w:hint="eastAsia" w:ascii="仿宋" w:hAnsi="仿宋" w:eastAsia="仿宋" w:cs="仿宋"/>
          <w:b/>
          <w:bCs/>
          <w:sz w:val="24"/>
        </w:rPr>
        <w:t>日期：_____年____月____日</w:t>
      </w: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rPr>
          <w:rFonts w:ascii="仿宋" w:hAnsi="仿宋" w:eastAsia="仿宋" w:cs="仿宋"/>
          <w:b/>
          <w:bCs/>
          <w:sz w:val="24"/>
        </w:rPr>
      </w:pPr>
    </w:p>
    <w:p>
      <w:pPr>
        <w:pStyle w:val="8"/>
        <w:jc w:val="center"/>
        <w:rPr>
          <w:bdr w:val="single" w:color="auto" w:sz="4" w:space="0"/>
        </w:rPr>
      </w:pPr>
      <w:bookmarkStart w:id="116" w:name="_Toc22272"/>
      <w:bookmarkStart w:id="117" w:name="_Toc481873163"/>
      <w:r>
        <w:rPr>
          <w:rFonts w:hint="eastAsia"/>
        </w:rPr>
        <w:t>六、资格证明文件</w:t>
      </w:r>
      <w:bookmarkEnd w:id="116"/>
      <w:bookmarkEnd w:id="117"/>
    </w:p>
    <w:p>
      <w:pPr>
        <w:spacing w:line="360" w:lineRule="auto"/>
        <w:ind w:firstLine="420" w:firstLineChars="200"/>
        <w:rPr>
          <w:rFonts w:ascii="宋体" w:hAnsi="宋体"/>
          <w:szCs w:val="21"/>
        </w:rPr>
      </w:pPr>
      <w:r>
        <w:rPr>
          <w:rFonts w:hint="eastAsia" w:ascii="宋体" w:hAnsi="宋体"/>
          <w:szCs w:val="21"/>
        </w:rPr>
        <w:t>1、营业执照；</w:t>
      </w:r>
    </w:p>
    <w:p>
      <w:pPr>
        <w:spacing w:line="360" w:lineRule="auto"/>
        <w:ind w:firstLine="420" w:firstLineChars="200"/>
        <w:rPr>
          <w:rFonts w:ascii="宋体" w:hAnsi="宋体"/>
          <w:szCs w:val="21"/>
        </w:rPr>
      </w:pPr>
      <w:r>
        <w:rPr>
          <w:rFonts w:hint="eastAsia" w:ascii="宋体" w:hAnsi="宋体"/>
          <w:szCs w:val="21"/>
        </w:rPr>
        <w:t>2、税务登记证；</w:t>
      </w:r>
    </w:p>
    <w:p>
      <w:pPr>
        <w:spacing w:line="360" w:lineRule="auto"/>
        <w:ind w:firstLine="420" w:firstLineChars="200"/>
        <w:rPr>
          <w:rFonts w:ascii="宋体" w:hAnsi="宋体"/>
          <w:szCs w:val="21"/>
        </w:rPr>
      </w:pPr>
      <w:r>
        <w:rPr>
          <w:rFonts w:hint="eastAsia" w:ascii="宋体" w:hAnsi="宋体"/>
          <w:szCs w:val="21"/>
        </w:rPr>
        <w:t>（如为三证合一的，只需提供三证合一的营业执照）</w:t>
      </w:r>
    </w:p>
    <w:p>
      <w:pPr>
        <w:numPr>
          <w:ilvl w:val="0"/>
          <w:numId w:val="7"/>
        </w:numPr>
        <w:spacing w:line="360" w:lineRule="auto"/>
        <w:ind w:firstLine="422" w:firstLineChars="200"/>
        <w:rPr>
          <w:rFonts w:ascii="宋体" w:hAnsi="宋体"/>
          <w:szCs w:val="21"/>
        </w:rPr>
      </w:pPr>
      <w:r>
        <w:rPr>
          <w:rFonts w:hint="eastAsia" w:ascii="宋体" w:hAnsi="宋体"/>
          <w:b/>
          <w:szCs w:val="21"/>
        </w:rPr>
        <w:t>缴纳税收和社保资金的证明材料</w:t>
      </w:r>
      <w:r>
        <w:rPr>
          <w:rFonts w:hint="eastAsia" w:ascii="宋体" w:hAnsi="宋体"/>
          <w:szCs w:val="21"/>
        </w:rPr>
        <w:t>（只需提供近一年内任意月份）；</w:t>
      </w:r>
    </w:p>
    <w:p>
      <w:pPr>
        <w:spacing w:line="360" w:lineRule="auto"/>
        <w:rPr>
          <w:rFonts w:ascii="宋体" w:hAnsi="宋体"/>
          <w:szCs w:val="21"/>
        </w:rPr>
      </w:pPr>
      <w:r>
        <w:rPr>
          <w:rFonts w:hint="eastAsia" w:ascii="宋体" w:hAnsi="宋体"/>
          <w:szCs w:val="21"/>
        </w:rPr>
        <w:t xml:space="preserve">    4、法定代表人身份证明书（格式见附件）及其有效二代居民身份证；</w:t>
      </w:r>
    </w:p>
    <w:p>
      <w:pPr>
        <w:spacing w:line="360" w:lineRule="auto"/>
        <w:ind w:firstLine="420" w:firstLineChars="200"/>
        <w:rPr>
          <w:rFonts w:ascii="宋体" w:hAnsi="宋体"/>
          <w:szCs w:val="21"/>
        </w:rPr>
      </w:pPr>
      <w:r>
        <w:rPr>
          <w:rFonts w:hint="eastAsia" w:ascii="宋体" w:hAnsi="宋体"/>
          <w:szCs w:val="21"/>
        </w:rPr>
        <w:t>5、法定代表人授权委托书（格式见附件）及其委托代理人有效二代居民身份证，若法定代表人开标现场参与投标则不需此件；</w:t>
      </w:r>
    </w:p>
    <w:p>
      <w:pPr>
        <w:spacing w:line="360" w:lineRule="auto"/>
        <w:ind w:firstLine="420" w:firstLineChars="200"/>
        <w:rPr>
          <w:rFonts w:ascii="宋体" w:hAnsi="宋体"/>
          <w:szCs w:val="21"/>
        </w:rPr>
      </w:pPr>
      <w:r>
        <w:rPr>
          <w:rFonts w:hint="eastAsia" w:ascii="宋体" w:hAnsi="宋体"/>
          <w:szCs w:val="21"/>
        </w:rPr>
        <w:t>6、履行合同所必需的设备专业技术能力证明文件；</w:t>
      </w:r>
    </w:p>
    <w:p>
      <w:pPr>
        <w:spacing w:line="360" w:lineRule="auto"/>
        <w:ind w:firstLine="315" w:firstLineChars="150"/>
        <w:rPr>
          <w:rFonts w:ascii="宋体" w:hAnsi="宋体"/>
          <w:szCs w:val="21"/>
        </w:rPr>
      </w:pPr>
      <w:r>
        <w:rPr>
          <w:rFonts w:hint="eastAsia" w:ascii="宋体" w:hAnsi="宋体"/>
          <w:szCs w:val="21"/>
        </w:rPr>
        <w:t>（1）服务于本项目的专业设备一览表</w:t>
      </w:r>
    </w:p>
    <w:tbl>
      <w:tblPr>
        <w:tblStyle w:val="27"/>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szCs w:val="21"/>
              </w:rPr>
            </w:pPr>
            <w:r>
              <w:rPr>
                <w:rFonts w:hint="eastAsia" w:ascii="宋体" w:hAnsi="宋体"/>
                <w:szCs w:val="21"/>
              </w:rPr>
              <w:t>序号</w:t>
            </w:r>
          </w:p>
        </w:tc>
        <w:tc>
          <w:tcPr>
            <w:tcW w:w="2292"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rPr>
                <w:rFonts w:ascii="宋体" w:hAnsi="宋体"/>
                <w:szCs w:val="21"/>
              </w:rPr>
            </w:pPr>
            <w:r>
              <w:rPr>
                <w:rFonts w:hint="eastAsia" w:ascii="宋体" w:hAnsi="宋体"/>
                <w:szCs w:val="21"/>
              </w:rPr>
              <w:t xml:space="preserve">    </w:t>
            </w: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ind w:firstLine="315" w:firstLineChars="150"/>
        <w:rPr>
          <w:rFonts w:ascii="宋体" w:hAnsi="宋体"/>
          <w:szCs w:val="21"/>
        </w:rPr>
      </w:pPr>
      <w:r>
        <w:rPr>
          <w:rFonts w:hint="eastAsia" w:ascii="宋体" w:hAnsi="宋体"/>
          <w:szCs w:val="21"/>
        </w:rPr>
        <w:t>（2）服务本项目人员一览表</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7"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7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61"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74"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宋体" w:hAnsi="宋体"/>
          <w:szCs w:val="21"/>
        </w:rPr>
      </w:pPr>
      <w:r>
        <w:rPr>
          <w:rFonts w:hint="eastAsia" w:ascii="Arial" w:hAnsi="Arial" w:cs="Arial"/>
          <w:szCs w:val="21"/>
        </w:rPr>
        <w:t>7、</w:t>
      </w:r>
      <w:r>
        <w:rPr>
          <w:rFonts w:ascii="Arial" w:hAnsi="Arial" w:cs="Arial"/>
          <w:szCs w:val="21"/>
        </w:rPr>
        <w:t>参加政府采购活动前3年内在经营活动中没有重大违法记录的书面声明</w:t>
      </w:r>
      <w:r>
        <w:rPr>
          <w:rFonts w:hint="eastAsia" w:ascii="Arial" w:hAnsi="Arial" w:cs="Arial"/>
          <w:szCs w:val="21"/>
        </w:rPr>
        <w:t>；</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rPr>
        <w:t xml:space="preserve"> </w:t>
      </w:r>
      <w:r>
        <w:rPr>
          <w:rFonts w:hint="eastAsia" w:ascii="宋体" w:hAnsi="宋体"/>
          <w:szCs w:val="21"/>
        </w:rPr>
        <w:t>潜山市中医院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我单位因违法经营受到刑事处罚或者责令停产停业、吊销许可证或者执照、较大数额罚款等行政处罚。</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rPr>
          <w:rFonts w:ascii="宋体" w:hAnsi="宋体"/>
          <w:szCs w:val="21"/>
        </w:rPr>
      </w:pPr>
      <w:r>
        <w:rPr>
          <w:rFonts w:hint="eastAsia" w:ascii="宋体" w:hAnsi="宋体"/>
          <w:szCs w:val="21"/>
        </w:rPr>
        <w:t xml:space="preserve"> </w:t>
      </w:r>
      <w:r>
        <w:rPr>
          <w:rFonts w:ascii="宋体" w:hAnsi="宋体"/>
          <w:szCs w:val="21"/>
        </w:rPr>
        <w:t xml:space="preserve">   </w:t>
      </w:r>
    </w:p>
    <w:p>
      <w:pPr>
        <w:pStyle w:val="67"/>
        <w:numPr>
          <w:ilvl w:val="0"/>
          <w:numId w:val="8"/>
        </w:numPr>
        <w:spacing w:line="360" w:lineRule="auto"/>
        <w:ind w:firstLineChars="0"/>
        <w:rPr>
          <w:rFonts w:ascii="宋体" w:hAnsi="宋体"/>
          <w:b/>
          <w:szCs w:val="21"/>
        </w:rPr>
      </w:pP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rPr>
        <w:t xml:space="preserve"> </w:t>
      </w:r>
      <w:r>
        <w:rPr>
          <w:rFonts w:hint="eastAsia" w:ascii="宋体" w:hAnsi="宋体"/>
          <w:szCs w:val="21"/>
        </w:rPr>
        <w:t>潜山市中医院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pPr>
    </w:p>
    <w:p>
      <w:pPr>
        <w:pStyle w:val="67"/>
        <w:numPr>
          <w:ilvl w:val="0"/>
          <w:numId w:val="9"/>
        </w:numPr>
        <w:spacing w:line="360" w:lineRule="auto"/>
        <w:ind w:firstLineChars="0"/>
        <w:rPr>
          <w:rFonts w:ascii="宋体" w:hAnsi="宋体"/>
          <w:szCs w:val="21"/>
        </w:rPr>
      </w:pPr>
      <w:r>
        <w:rPr>
          <w:rFonts w:hint="eastAsia" w:ascii="宋体" w:hAnsi="宋体"/>
          <w:szCs w:val="21"/>
        </w:rPr>
        <w:t xml:space="preserve"> 一个完整年度（</w:t>
      </w:r>
      <w:r>
        <w:rPr>
          <w:rFonts w:hint="eastAsia" w:ascii="宋体" w:hAnsi="宋体"/>
          <w:color w:val="FF0000"/>
          <w:szCs w:val="21"/>
        </w:rPr>
        <w:t>20</w:t>
      </w:r>
      <w:r>
        <w:rPr>
          <w:rFonts w:hint="eastAsia" w:ascii="宋体" w:hAnsi="宋体"/>
          <w:color w:val="FF0000"/>
          <w:szCs w:val="21"/>
          <w:lang w:val="en-US" w:eastAsia="zh-CN"/>
        </w:rPr>
        <w:t>21</w:t>
      </w:r>
      <w:r>
        <w:rPr>
          <w:rFonts w:hint="eastAsia" w:ascii="宋体" w:hAnsi="宋体"/>
          <w:color w:val="FF0000"/>
          <w:szCs w:val="21"/>
        </w:rPr>
        <w:t>年或202</w:t>
      </w:r>
      <w:r>
        <w:rPr>
          <w:rFonts w:hint="eastAsia" w:ascii="宋体" w:hAnsi="宋体"/>
          <w:color w:val="FF0000"/>
          <w:szCs w:val="21"/>
          <w:lang w:val="en-US" w:eastAsia="zh-CN"/>
        </w:rPr>
        <w:t>2</w:t>
      </w:r>
      <w:r>
        <w:rPr>
          <w:rFonts w:hint="eastAsia" w:ascii="宋体" w:hAnsi="宋体"/>
          <w:color w:val="FF0000"/>
          <w:szCs w:val="21"/>
        </w:rPr>
        <w:t>年</w:t>
      </w:r>
      <w:r>
        <w:rPr>
          <w:rFonts w:hint="eastAsia" w:ascii="宋体" w:hAnsi="宋体"/>
          <w:szCs w:val="21"/>
        </w:rPr>
        <w:t>）财务会计报表；</w:t>
      </w:r>
    </w:p>
    <w:p>
      <w:pPr>
        <w:spacing w:line="360" w:lineRule="auto"/>
        <w:rPr>
          <w:rFonts w:ascii="Arial" w:hAnsi="Arial" w:cs="Arial"/>
          <w:szCs w:val="21"/>
        </w:rPr>
      </w:pPr>
      <w:r>
        <w:rPr>
          <w:rFonts w:hint="eastAsia" w:ascii="Arial" w:hAnsi="Arial" w:cs="Arial"/>
          <w:szCs w:val="21"/>
        </w:rPr>
        <w:t>　　   如供应商为新成立的供应商，请提供上一月度（或季度）财务会计报表影印件，并加盖供应商公章。</w:t>
      </w:r>
    </w:p>
    <w:p>
      <w:pPr>
        <w:spacing w:line="360" w:lineRule="auto"/>
        <w:ind w:firstLine="420" w:firstLineChars="200"/>
        <w:rPr>
          <w:rFonts w:ascii="宋体" w:hAnsi="宋体"/>
          <w:szCs w:val="21"/>
        </w:rPr>
      </w:pPr>
      <w:r>
        <w:rPr>
          <w:rFonts w:hint="eastAsia" w:ascii="宋体" w:hAnsi="宋体"/>
          <w:szCs w:val="21"/>
        </w:rPr>
        <w:t>10、本项目招标文件中要求投标人提供的其他证明材料。</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、须提供上述资格证明文件影印件加盖供应商公章。</w:t>
      </w:r>
    </w:p>
    <w:p>
      <w:pPr>
        <w:widowControl/>
        <w:spacing w:line="360" w:lineRule="auto"/>
        <w:ind w:firstLine="482" w:firstLineChars="200"/>
        <w:jc w:val="left"/>
        <w:rPr>
          <w:rFonts w:ascii="宋体" w:hAnsi="宋体"/>
          <w:b/>
          <w:sz w:val="24"/>
        </w:rPr>
      </w:pPr>
    </w:p>
    <w:p>
      <w:pPr>
        <w:widowControl/>
        <w:spacing w:line="360" w:lineRule="auto"/>
        <w:ind w:firstLine="482" w:firstLineChars="200"/>
        <w:jc w:val="left"/>
        <w:rPr>
          <w:rFonts w:ascii="宋体" w:hAnsi="宋体"/>
          <w:b/>
          <w:sz w:val="24"/>
        </w:rPr>
      </w:pPr>
      <w:r>
        <w:rPr>
          <w:rFonts w:hint="eastAsia" w:ascii="宋体" w:hAnsi="宋体"/>
          <w:b/>
          <w:sz w:val="24"/>
        </w:rPr>
        <w:t>12. 承诺函</w:t>
      </w:r>
    </w:p>
    <w:p>
      <w:pPr>
        <w:widowControl/>
        <w:spacing w:line="360" w:lineRule="auto"/>
        <w:jc w:val="center"/>
        <w:rPr>
          <w:rFonts w:ascii="宋体" w:hAnsi="宋体"/>
          <w:b/>
          <w:sz w:val="24"/>
        </w:rPr>
      </w:pPr>
      <w:r>
        <w:rPr>
          <w:rFonts w:hint="eastAsia" w:ascii="宋体" w:hAnsi="宋体"/>
          <w:b/>
          <w:sz w:val="24"/>
        </w:rPr>
        <w:t>承诺函</w:t>
      </w:r>
    </w:p>
    <w:p>
      <w:pPr>
        <w:widowControl/>
        <w:spacing w:line="360" w:lineRule="auto"/>
        <w:jc w:val="left"/>
        <w:rPr>
          <w:rFonts w:ascii="宋体" w:hAnsi="宋体"/>
          <w:sz w:val="24"/>
        </w:rPr>
      </w:pPr>
      <w:r>
        <w:rPr>
          <w:rFonts w:hint="eastAsia" w:ascii="宋体" w:hAnsi="宋体"/>
          <w:sz w:val="24"/>
        </w:rPr>
        <w:t>致_______________（采购人）、相关监督部门</w:t>
      </w:r>
    </w:p>
    <w:p>
      <w:pPr>
        <w:widowControl/>
        <w:spacing w:line="360" w:lineRule="auto"/>
        <w:jc w:val="left"/>
        <w:rPr>
          <w:rFonts w:ascii="宋体" w:hAnsi="宋体"/>
          <w:sz w:val="24"/>
        </w:rPr>
      </w:pPr>
      <w:r>
        <w:rPr>
          <w:rFonts w:hint="eastAsia" w:ascii="宋体" w:hAnsi="宋体"/>
          <w:sz w:val="24"/>
        </w:rPr>
        <w:t xml:space="preserve">  我公司承诺，与参加本项目投标的其他企业无任何控股和管理关系。否则，我公司</w:t>
      </w:r>
    </w:p>
    <w:p>
      <w:pPr>
        <w:widowControl/>
        <w:spacing w:line="360" w:lineRule="auto"/>
        <w:jc w:val="left"/>
        <w:rPr>
          <w:rFonts w:ascii="宋体" w:hAnsi="宋体"/>
          <w:sz w:val="24"/>
        </w:rPr>
      </w:pPr>
      <w:r>
        <w:rPr>
          <w:rFonts w:hint="eastAsia" w:ascii="宋体" w:hAnsi="宋体"/>
          <w:sz w:val="24"/>
        </w:rPr>
        <w:t>愿意接受采购人、相关监督部门作出的包括但不限于取消投标（中标）资格、投标保证</w:t>
      </w:r>
    </w:p>
    <w:p>
      <w:pPr>
        <w:widowControl/>
        <w:spacing w:line="360" w:lineRule="auto"/>
        <w:jc w:val="left"/>
        <w:rPr>
          <w:rFonts w:ascii="宋体" w:hAnsi="宋体"/>
          <w:sz w:val="24"/>
        </w:rPr>
      </w:pPr>
      <w:r>
        <w:rPr>
          <w:rFonts w:hint="eastAsia" w:ascii="宋体" w:hAnsi="宋体"/>
          <w:sz w:val="24"/>
        </w:rPr>
        <w:t>金不予退还、实施不良行为记录、限制投标、公开曝光及相关的行政处理、处罚。</w:t>
      </w:r>
    </w:p>
    <w:p>
      <w:pPr>
        <w:widowControl/>
        <w:spacing w:line="360" w:lineRule="auto"/>
        <w:jc w:val="left"/>
        <w:rPr>
          <w:rFonts w:ascii="宋体" w:hAnsi="宋体"/>
          <w:sz w:val="24"/>
        </w:rPr>
      </w:pPr>
      <w:r>
        <w:rPr>
          <w:rFonts w:hint="eastAsia" w:ascii="宋体" w:hAnsi="宋体"/>
          <w:sz w:val="24"/>
        </w:rPr>
        <w:t xml:space="preserve">                                       供应商名称（盖章）：</w:t>
      </w:r>
    </w:p>
    <w:p>
      <w:pPr>
        <w:widowControl/>
        <w:spacing w:line="360" w:lineRule="auto"/>
        <w:jc w:val="left"/>
        <w:rPr>
          <w:rFonts w:ascii="宋体" w:hAnsi="宋体"/>
          <w:sz w:val="24"/>
        </w:rPr>
      </w:pPr>
      <w:r>
        <w:rPr>
          <w:rFonts w:hint="eastAsia" w:ascii="宋体" w:hAnsi="宋体"/>
          <w:sz w:val="24"/>
        </w:rPr>
        <w:t xml:space="preserve">                                       法定代表人（盖章）：</w:t>
      </w:r>
    </w:p>
    <w:p>
      <w:pPr>
        <w:widowControl/>
        <w:spacing w:line="360" w:lineRule="auto"/>
        <w:jc w:val="left"/>
        <w:rPr>
          <w:rFonts w:ascii="宋体" w:hAnsi="宋体"/>
          <w:szCs w:val="21"/>
        </w:rPr>
      </w:pPr>
      <w:r>
        <w:rPr>
          <w:rFonts w:hint="eastAsia" w:ascii="宋体" w:hAnsi="宋体"/>
          <w:sz w:val="24"/>
        </w:rPr>
        <w:t xml:space="preserve">                                       日期：</w:t>
      </w:r>
    </w:p>
    <w:p>
      <w:pPr>
        <w:widowControl/>
        <w:spacing w:line="360" w:lineRule="auto"/>
        <w:jc w:val="left"/>
        <w:rPr>
          <w:rFonts w:ascii="宋体" w:hAnsi="宋体"/>
          <w:szCs w:val="21"/>
        </w:rPr>
      </w:pPr>
    </w:p>
    <w:p>
      <w:pPr>
        <w:widowControl/>
        <w:spacing w:line="360" w:lineRule="auto"/>
        <w:jc w:val="left"/>
        <w:rPr>
          <w:rFonts w:ascii="宋体" w:hAnsi="宋体"/>
          <w:sz w:val="24"/>
        </w:rPr>
      </w:pPr>
      <w:r>
        <w:rPr>
          <w:rFonts w:hint="eastAsia" w:ascii="宋体" w:hAnsi="宋体"/>
          <w:b/>
          <w:bCs/>
          <w:szCs w:val="21"/>
        </w:rPr>
        <w:t>附件：</w:t>
      </w:r>
    </w:p>
    <w:p>
      <w:pPr>
        <w:spacing w:line="360" w:lineRule="auto"/>
        <w:ind w:firstLine="472" w:firstLineChars="196"/>
        <w:jc w:val="center"/>
        <w:rPr>
          <w:rFonts w:ascii="宋体" w:hAnsi="宋体"/>
          <w:b/>
          <w:bCs/>
          <w:sz w:val="24"/>
        </w:rPr>
      </w:pPr>
      <w:r>
        <w:rPr>
          <w:rFonts w:hint="eastAsia" w:ascii="宋体" w:hAnsi="宋体"/>
          <w:b/>
          <w:bCs/>
          <w:sz w:val="24"/>
        </w:rPr>
        <w:t>法定代表人身份证明书</w:t>
      </w:r>
    </w:p>
    <w:p>
      <w:pPr>
        <w:adjustRightInd w:val="0"/>
        <w:snapToGrid w:val="0"/>
        <w:spacing w:line="360" w:lineRule="auto"/>
        <w:ind w:firstLine="480" w:firstLineChars="200"/>
        <w:rPr>
          <w:sz w:val="24"/>
        </w:rPr>
      </w:pPr>
      <w:r>
        <w:rPr>
          <w:rFonts w:ascii="宋体" w:hAnsi="宋体"/>
          <w:sz w:val="24"/>
        </w:rPr>
        <w:t>供应商名称：</w:t>
      </w:r>
      <w:r>
        <w:rPr>
          <w:sz w:val="24"/>
          <w:u w:val="single"/>
        </w:rPr>
        <w:t xml:space="preserve">                              </w:t>
      </w:r>
    </w:p>
    <w:p>
      <w:pPr>
        <w:adjustRightInd w:val="0"/>
        <w:snapToGrid w:val="0"/>
        <w:spacing w:line="360" w:lineRule="auto"/>
        <w:ind w:firstLine="480" w:firstLineChars="200"/>
        <w:rPr>
          <w:sz w:val="24"/>
        </w:rPr>
      </w:pPr>
      <w:r>
        <w:rPr>
          <w:rFonts w:ascii="宋体" w:hAnsi="宋体"/>
          <w:sz w:val="24"/>
        </w:rPr>
        <w:t>单位性质：</w:t>
      </w:r>
      <w:r>
        <w:rPr>
          <w:sz w:val="24"/>
          <w:u w:val="single"/>
        </w:rPr>
        <w:t xml:space="preserve">                                </w:t>
      </w:r>
    </w:p>
    <w:p>
      <w:pPr>
        <w:adjustRightInd w:val="0"/>
        <w:snapToGrid w:val="0"/>
        <w:spacing w:line="360" w:lineRule="auto"/>
        <w:ind w:firstLine="480" w:firstLineChars="200"/>
        <w:rPr>
          <w:sz w:val="24"/>
        </w:rPr>
      </w:pPr>
      <w:r>
        <w:rPr>
          <w:rFonts w:ascii="宋体" w:hAnsi="宋体"/>
          <w:sz w:val="24"/>
        </w:rPr>
        <w:t>地址：</w:t>
      </w:r>
      <w:r>
        <w:rPr>
          <w:sz w:val="24"/>
          <w:u w:val="single"/>
        </w:rPr>
        <w:t xml:space="preserve">                                    </w:t>
      </w:r>
    </w:p>
    <w:p>
      <w:pPr>
        <w:adjustRightInd w:val="0"/>
        <w:snapToGrid w:val="0"/>
        <w:spacing w:line="360" w:lineRule="auto"/>
        <w:ind w:firstLine="480" w:firstLineChars="200"/>
        <w:rPr>
          <w:sz w:val="24"/>
        </w:rPr>
      </w:pPr>
      <w:r>
        <w:rPr>
          <w:rFonts w:ascii="宋体" w:hAnsi="宋体"/>
          <w:sz w:val="24"/>
        </w:rPr>
        <w:t>成立时间：</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firstLine="480" w:firstLineChars="200"/>
        <w:rPr>
          <w:sz w:val="24"/>
        </w:rPr>
      </w:pPr>
      <w:r>
        <w:rPr>
          <w:rFonts w:ascii="宋体" w:hAnsi="宋体"/>
          <w:sz w:val="24"/>
        </w:rPr>
        <w:t>经营期限：</w:t>
      </w:r>
      <w:r>
        <w:rPr>
          <w:sz w:val="24"/>
          <w:u w:val="single"/>
        </w:rPr>
        <w:t xml:space="preserve">          </w:t>
      </w:r>
    </w:p>
    <w:p>
      <w:pPr>
        <w:adjustRightInd w:val="0"/>
        <w:snapToGrid w:val="0"/>
        <w:spacing w:line="360" w:lineRule="auto"/>
        <w:ind w:firstLine="480" w:firstLineChars="200"/>
        <w:rPr>
          <w:sz w:val="24"/>
        </w:rPr>
      </w:pPr>
      <w:r>
        <w:rPr>
          <w:rFonts w:ascii="宋体" w:hAnsi="宋体"/>
          <w:sz w:val="24"/>
        </w:rPr>
        <w:t>姓名：</w:t>
      </w:r>
      <w:r>
        <w:rPr>
          <w:sz w:val="24"/>
          <w:u w:val="single"/>
        </w:rPr>
        <w:t xml:space="preserve">             </w:t>
      </w:r>
      <w:r>
        <w:rPr>
          <w:rFonts w:ascii="宋体" w:hAnsi="宋体"/>
          <w:sz w:val="24"/>
        </w:rPr>
        <w:t>性别：</w:t>
      </w:r>
      <w:r>
        <w:rPr>
          <w:sz w:val="24"/>
          <w:u w:val="single"/>
        </w:rPr>
        <w:t xml:space="preserve">         </w:t>
      </w:r>
      <w:r>
        <w:rPr>
          <w:rFonts w:ascii="宋体" w:hAnsi="宋体"/>
          <w:sz w:val="24"/>
        </w:rPr>
        <w:t>年龄：</w:t>
      </w:r>
      <w:r>
        <w:rPr>
          <w:sz w:val="24"/>
          <w:u w:val="single"/>
        </w:rPr>
        <w:t xml:space="preserve">          </w:t>
      </w:r>
      <w:r>
        <w:rPr>
          <w:rFonts w:ascii="宋体" w:hAnsi="宋体"/>
          <w:sz w:val="24"/>
        </w:rPr>
        <w:t>职务：</w:t>
      </w:r>
      <w:r>
        <w:rPr>
          <w:sz w:val="24"/>
          <w:u w:val="single"/>
        </w:rPr>
        <w:t xml:space="preserve">            </w:t>
      </w:r>
    </w:p>
    <w:p>
      <w:pPr>
        <w:adjustRightInd w:val="0"/>
        <w:snapToGrid w:val="0"/>
        <w:spacing w:line="360" w:lineRule="auto"/>
        <w:ind w:firstLine="480" w:firstLineChars="200"/>
        <w:rPr>
          <w:sz w:val="24"/>
        </w:rPr>
      </w:pPr>
      <w:r>
        <w:rPr>
          <w:rFonts w:ascii="宋体" w:hAnsi="宋体"/>
          <w:sz w:val="24"/>
        </w:rPr>
        <w:t>系</w:t>
      </w:r>
      <w:r>
        <w:rPr>
          <w:sz w:val="24"/>
          <w:u w:val="single"/>
        </w:rPr>
        <w:t xml:space="preserve">                          </w:t>
      </w:r>
      <w:r>
        <w:rPr>
          <w:rFonts w:ascii="宋体" w:hAnsi="宋体"/>
          <w:sz w:val="24"/>
        </w:rPr>
        <w:t>（供应商名称）的法定代表人。</w:t>
      </w:r>
    </w:p>
    <w:p>
      <w:pPr>
        <w:adjustRightInd w:val="0"/>
        <w:snapToGrid w:val="0"/>
        <w:spacing w:line="360" w:lineRule="auto"/>
        <w:ind w:firstLine="470" w:firstLineChars="196"/>
        <w:rPr>
          <w:rFonts w:hAnsi="宋体"/>
          <w:sz w:val="24"/>
        </w:rPr>
      </w:pPr>
      <w:r>
        <w:rPr>
          <w:rFonts w:hint="eastAsia" w:ascii="宋体" w:hAnsi="宋体"/>
          <w:sz w:val="24"/>
        </w:rPr>
        <w:t>联系方式（移动电话）：</w:t>
      </w:r>
      <w:r>
        <w:rPr>
          <w:rFonts w:hint="eastAsia" w:hAnsi="宋体"/>
          <w:b/>
          <w:sz w:val="24"/>
          <w:u w:val="single"/>
        </w:rPr>
        <w:t xml:space="preserve">（须保持畅通，否则由此引起的一切后果供应商自行承担）   </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hint="eastAsia" w:ascii="宋体" w:hAnsi="宋体"/>
          <w:sz w:val="24"/>
        </w:rPr>
        <w:t>电子邮箱：</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ascii="宋体" w:hAnsi="宋体"/>
          <w:sz w:val="24"/>
        </w:rPr>
        <w:t>特此证明。</w:t>
      </w:r>
    </w:p>
    <w:p>
      <w:pPr>
        <w:adjustRightInd w:val="0"/>
        <w:snapToGrid w:val="0"/>
        <w:spacing w:line="360" w:lineRule="auto"/>
        <w:ind w:firstLine="4728" w:firstLineChars="1970"/>
        <w:jc w:val="left"/>
        <w:rPr>
          <w:sz w:val="24"/>
        </w:rPr>
      </w:pPr>
      <w:r>
        <w:rPr>
          <w:rFonts w:ascii="宋体" w:hAnsi="宋体"/>
          <w:sz w:val="24"/>
        </w:rPr>
        <w:t>供应商：</w:t>
      </w:r>
      <w:r>
        <w:rPr>
          <w:sz w:val="24"/>
          <w:u w:val="single"/>
        </w:rPr>
        <w:t xml:space="preserve">     </w:t>
      </w:r>
      <w:r>
        <w:rPr>
          <w:rFonts w:hint="eastAsia"/>
          <w:sz w:val="24"/>
          <w:u w:val="single"/>
        </w:rPr>
        <w:t xml:space="preserve">               </w:t>
      </w:r>
      <w:r>
        <w:rPr>
          <w:sz w:val="24"/>
          <w:u w:val="single"/>
        </w:rPr>
        <w:t xml:space="preserve">  </w:t>
      </w:r>
      <w:r>
        <w:rPr>
          <w:rFonts w:ascii="宋体" w:hAnsi="宋体"/>
          <w:sz w:val="24"/>
        </w:rPr>
        <w:t>（</w:t>
      </w:r>
      <w:r>
        <w:rPr>
          <w:rFonts w:hint="eastAsia" w:ascii="宋体" w:hAnsi="宋体"/>
          <w:sz w:val="24"/>
        </w:rPr>
        <w:t>盖</w:t>
      </w:r>
      <w:r>
        <w:rPr>
          <w:rFonts w:ascii="宋体" w:hAnsi="宋体"/>
          <w:sz w:val="24"/>
        </w:rPr>
        <w:t>章）</w:t>
      </w:r>
    </w:p>
    <w:p>
      <w:pPr>
        <w:adjustRightInd w:val="0"/>
        <w:snapToGrid w:val="0"/>
        <w:spacing w:line="360" w:lineRule="auto"/>
        <w:ind w:right="360" w:firstLine="5544" w:firstLineChars="2310"/>
        <w:jc w:val="left"/>
        <w:rPr>
          <w:rFonts w:ascii="宋体" w:hAnsi="宋体"/>
          <w:sz w:val="24"/>
        </w:rPr>
      </w:pP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spacing w:line="360" w:lineRule="auto"/>
        <w:jc w:val="center"/>
        <w:rPr>
          <w:rFonts w:ascii="宋体" w:hAnsi="宋体"/>
          <w:b/>
          <w:bCs/>
          <w:sz w:val="24"/>
        </w:rPr>
      </w:pPr>
      <w:r>
        <w:rPr>
          <w:rFonts w:hint="eastAsia" w:ascii="宋体" w:hAnsi="宋体"/>
          <w:b/>
          <w:bCs/>
          <w:sz w:val="24"/>
        </w:rPr>
        <w:t>法定代表人授权委托书（如果有）</w:t>
      </w: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（姓名）为我方委托代理人。委托代理人根据授权，以我方名义处理</w:t>
      </w:r>
      <w:r>
        <w:rPr>
          <w:rFonts w:hint="eastAsia" w:ascii="宋体" w:hAnsi="宋体"/>
          <w:sz w:val="24"/>
          <w:u w:val="single"/>
        </w:rPr>
        <w:t xml:space="preserve">                           </w:t>
      </w:r>
      <w:r>
        <w:rPr>
          <w:rFonts w:hint="eastAsia" w:ascii="宋体" w:hAnsi="宋体"/>
          <w:sz w:val="24"/>
        </w:rPr>
        <w:t>（项目名称）的投标一切事宜，其法律后果由我方承担。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委托代理人无转委托权，特此委托。</w:t>
      </w:r>
    </w:p>
    <w:p>
      <w:pPr>
        <w:pStyle w:val="26"/>
      </w:pPr>
    </w:p>
    <w:p>
      <w:pPr>
        <w:pStyle w:val="26"/>
      </w:pPr>
    </w:p>
    <w:p>
      <w:pPr>
        <w:pStyle w:val="26"/>
      </w:pPr>
    </w:p>
    <w:p>
      <w:pPr>
        <w:pStyle w:val="26"/>
      </w:pPr>
    </w:p>
    <w:p>
      <w:pPr>
        <w:spacing w:line="360" w:lineRule="auto"/>
        <w:ind w:firstLine="480" w:firstLineChars="200"/>
        <w:rPr>
          <w:rFonts w:ascii="宋体" w:hAnsi="宋体"/>
          <w:sz w:val="24"/>
          <w:u w:val="single"/>
        </w:rPr>
      </w:pPr>
      <w:r>
        <w:rPr>
          <w:rFonts w:hint="eastAsia" w:ascii="宋体" w:hAnsi="宋体"/>
          <w:sz w:val="24"/>
        </w:rPr>
        <w:t>授权委托人：</w:t>
      </w:r>
      <w:r>
        <w:rPr>
          <w:rFonts w:hint="eastAsia" w:ascii="宋体" w:hAnsi="宋体"/>
          <w:sz w:val="24"/>
          <w:u w:val="single"/>
        </w:rPr>
        <w:t xml:space="preserve">              </w:t>
      </w:r>
      <w:r>
        <w:rPr>
          <w:rFonts w:hint="eastAsia" w:ascii="宋体" w:hAnsi="宋体"/>
          <w:sz w:val="24"/>
        </w:rPr>
        <w:t>性别 ：</w:t>
      </w:r>
      <w:r>
        <w:rPr>
          <w:rFonts w:hint="eastAsia" w:ascii="宋体" w:hAnsi="宋体"/>
          <w:sz w:val="24"/>
          <w:u w:val="single"/>
        </w:rPr>
        <w:t xml:space="preserve">            </w:t>
      </w:r>
      <w:r>
        <w:rPr>
          <w:rFonts w:hint="eastAsia" w:ascii="宋体" w:hAnsi="宋体"/>
          <w:sz w:val="24"/>
        </w:rPr>
        <w:t>年龄：_______</w:t>
      </w:r>
    </w:p>
    <w:p>
      <w:pPr>
        <w:spacing w:line="360" w:lineRule="auto"/>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联系方式（移动电话）：</w:t>
      </w:r>
      <w:r>
        <w:rPr>
          <w:rFonts w:hint="eastAsia" w:ascii="宋体" w:hAnsi="宋体"/>
          <w:b/>
          <w:sz w:val="24"/>
          <w:u w:val="single"/>
        </w:rPr>
        <w:t xml:space="preserve">（须保持畅通，否则由此引起的一切后果供应商自行承担）  </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（盖章）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（盖章）</w:t>
      </w:r>
    </w:p>
    <w:p>
      <w:pPr>
        <w:spacing w:line="360" w:lineRule="auto"/>
        <w:ind w:right="480" w:firstLine="480" w:firstLineChars="2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70" w:firstLineChars="196"/>
        <w:jc w:val="center"/>
        <w:rPr>
          <w:rFonts w:ascii="宋体" w:hAnsi="宋体"/>
          <w:sz w:val="24"/>
        </w:rPr>
      </w:pPr>
      <w:r>
        <w:rPr>
          <w:rFonts w:hint="eastAsia" w:ascii="宋体" w:hAnsi="宋体"/>
          <w:sz w:val="24"/>
        </w:rPr>
        <w:t xml:space="preserve"> </w:t>
      </w:r>
    </w:p>
    <w:p>
      <w:pPr>
        <w:spacing w:line="360" w:lineRule="auto"/>
        <w:rPr>
          <w:b/>
          <w:sz w:val="24"/>
        </w:rPr>
      </w:pPr>
      <w:r>
        <w:rPr>
          <w:sz w:val="24"/>
        </w:rPr>
        <w:t xml:space="preserve"> </w:t>
      </w:r>
      <w:r>
        <w:rPr>
          <w:rFonts w:hint="eastAsia"/>
          <w:b/>
          <w:sz w:val="24"/>
        </w:rPr>
        <w:t>注：本项目只允许唯一的供应商授权代表。</w:t>
      </w:r>
    </w:p>
    <w:p>
      <w:pPr>
        <w:wordWrap w:val="0"/>
        <w:spacing w:line="360" w:lineRule="auto"/>
        <w:ind w:right="480" w:firstLine="420" w:firstLineChars="200"/>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spacing w:val="20"/>
          <w:sz w:val="36"/>
          <w:szCs w:val="36"/>
          <w:u w:val="single"/>
        </w:rPr>
      </w:pPr>
    </w:p>
    <w:sectPr>
      <w:headerReference r:id="rId3" w:type="default"/>
      <w:footerReference r:id="rId4" w:type="default"/>
      <w:pgSz w:w="11906" w:h="16838"/>
      <w:pgMar w:top="850" w:right="1230" w:bottom="873" w:left="1230"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r>
                            <w:rPr>
                              <w:rFonts w:hint="eastAsia"/>
                              <w:sz w:val="18"/>
                            </w:rPr>
                            <w:t xml:space="preserve"> 页 共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r>
                      <w:rPr>
                        <w:rFonts w:hint="eastAsia"/>
                        <w:sz w:val="18"/>
                      </w:rPr>
                      <w:t xml:space="preserve"> 页 共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sz w:val="13"/>
        <w:szCs w:val="16"/>
      </w:rPr>
    </w:pPr>
    <w:r>
      <w:pict>
        <v:shape id="PowerPlusWaterMarkObject113238" o:spid="_x0000_s2054" o:spt="136" type="#_x0000_t136" style="position:absolute;left:0pt;height:105.65pt;width:185.5pt;mso-position-horizontal:center;mso-position-horizontal-relative:margin;mso-position-vertical:center;mso-position-vertical-relative:margin;z-index:-251656192;mso-width-relative:page;mso-height-relative:page;" fillcolor="#A6A6A6" filled="t" stroked="f" coordsize="21600,21600">
          <v:path/>
          <v:fill on="t" opacity="32768f" focussize="0,0"/>
          <v:stroke on="f"/>
          <v:imagedata o:title=""/>
          <o:lock v:ext="edit" aspectratio="t"/>
          <v:textpath on="t" fitshape="t" fitpath="t" trim="t" xscale="f" string="泰杰" style="font-family:方正行楷简体;font-size:96pt;v-text-align:center;"/>
        </v:shape>
      </w:pict>
    </w:r>
    <w:r>
      <w:rPr>
        <w:rFonts w:hint="eastAsia"/>
        <w:szCs w:val="21"/>
      </w:rPr>
      <w:t xml:space="preserve">                                                             </w:t>
    </w:r>
    <w:r>
      <w:rPr>
        <w:rFonts w:hint="eastAsia" w:ascii="仿宋" w:hAnsi="仿宋" w:eastAsia="仿宋"/>
        <w:b/>
        <w:bCs/>
      </w:rPr>
      <w:t xml:space="preserve">2023年潜山市中医院检验外送项目招标文件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D4D13"/>
    <w:multiLevelType w:val="singleLevel"/>
    <w:tmpl w:val="FBDD4D13"/>
    <w:lvl w:ilvl="0" w:tentative="0">
      <w:start w:val="4"/>
      <w:numFmt w:val="decimal"/>
      <w:suff w:val="nothing"/>
      <w:lvlText w:val="%1．"/>
      <w:lvlJc w:val="left"/>
    </w:lvl>
  </w:abstractNum>
  <w:abstractNum w:abstractNumId="1">
    <w:nsid w:val="08B95DF1"/>
    <w:multiLevelType w:val="multilevel"/>
    <w:tmpl w:val="08B95DF1"/>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4FAC7EE"/>
    <w:multiLevelType w:val="singleLevel"/>
    <w:tmpl w:val="24FAC7EE"/>
    <w:lvl w:ilvl="0" w:tentative="0">
      <w:start w:val="1"/>
      <w:numFmt w:val="decimal"/>
      <w:suff w:val="nothing"/>
      <w:lvlText w:val="（%1）"/>
      <w:lvlJc w:val="left"/>
      <w:pPr>
        <w:ind w:left="110"/>
      </w:pPr>
    </w:lvl>
  </w:abstractNum>
  <w:abstractNum w:abstractNumId="3">
    <w:nsid w:val="445FC30B"/>
    <w:multiLevelType w:val="singleLevel"/>
    <w:tmpl w:val="445FC30B"/>
    <w:lvl w:ilvl="0" w:tentative="0">
      <w:start w:val="1"/>
      <w:numFmt w:val="decimal"/>
      <w:suff w:val="nothing"/>
      <w:lvlText w:val="%1、"/>
      <w:lvlJc w:val="left"/>
      <w:pPr>
        <w:ind w:left="0" w:firstLine="0"/>
      </w:pPr>
      <w:rPr>
        <w:rFonts w:cs="Times New Roman"/>
      </w:rPr>
    </w:lvl>
  </w:abstractNum>
  <w:abstractNum w:abstractNumId="4">
    <w:nsid w:val="58D9DD69"/>
    <w:multiLevelType w:val="singleLevel"/>
    <w:tmpl w:val="58D9DD69"/>
    <w:lvl w:ilvl="0" w:tentative="0">
      <w:start w:val="3"/>
      <w:numFmt w:val="decimal"/>
      <w:suff w:val="nothing"/>
      <w:lvlText w:val="%1、"/>
      <w:lvlJc w:val="left"/>
    </w:lvl>
  </w:abstractNum>
  <w:abstractNum w:abstractNumId="5">
    <w:nsid w:val="58DE129E"/>
    <w:multiLevelType w:val="singleLevel"/>
    <w:tmpl w:val="58DE129E"/>
    <w:lvl w:ilvl="0" w:tentative="0">
      <w:start w:val="4"/>
      <w:numFmt w:val="chineseCounting"/>
      <w:suff w:val="nothing"/>
      <w:lvlText w:val="%1、"/>
      <w:lvlJc w:val="left"/>
    </w:lvl>
  </w:abstractNum>
  <w:abstractNum w:abstractNumId="6">
    <w:nsid w:val="6D8974D5"/>
    <w:multiLevelType w:val="multilevel"/>
    <w:tmpl w:val="6D8974D5"/>
    <w:lvl w:ilvl="0" w:tentative="0">
      <w:start w:val="9"/>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B250AF8"/>
    <w:multiLevelType w:val="multilevel"/>
    <w:tmpl w:val="7B250AF8"/>
    <w:lvl w:ilvl="0" w:tentative="0">
      <w:start w:val="8"/>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0"/>
  </w:num>
  <w:num w:numId="3">
    <w:abstractNumId w:val="5"/>
  </w:num>
  <w:num w:numId="4">
    <w:abstractNumId w:val="3"/>
    <w:lvlOverride w:ilvl="0">
      <w:startOverride w:val="1"/>
    </w:lvlOverride>
  </w:num>
  <w:num w:numId="5">
    <w:abstractNumId w:val="2"/>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A5"/>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0EAA"/>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00C8"/>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B7420"/>
    <w:rsid w:val="001C0361"/>
    <w:rsid w:val="001C1352"/>
    <w:rsid w:val="001C3C00"/>
    <w:rsid w:val="001C40DE"/>
    <w:rsid w:val="001C5109"/>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8793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49A3"/>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4217"/>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064A"/>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19E5"/>
    <w:rsid w:val="00743861"/>
    <w:rsid w:val="00743BA2"/>
    <w:rsid w:val="007460E0"/>
    <w:rsid w:val="00746A80"/>
    <w:rsid w:val="00746F7E"/>
    <w:rsid w:val="007472AF"/>
    <w:rsid w:val="00747EBF"/>
    <w:rsid w:val="00751178"/>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3C77"/>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6744"/>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368B"/>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0A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7BA"/>
    <w:rsid w:val="00C52EDD"/>
    <w:rsid w:val="00C52F08"/>
    <w:rsid w:val="00C536CA"/>
    <w:rsid w:val="00C53CB1"/>
    <w:rsid w:val="00C54E59"/>
    <w:rsid w:val="00C553BB"/>
    <w:rsid w:val="00C55549"/>
    <w:rsid w:val="00C6123A"/>
    <w:rsid w:val="00C61BFF"/>
    <w:rsid w:val="00C6236D"/>
    <w:rsid w:val="00C629CF"/>
    <w:rsid w:val="00C62D5D"/>
    <w:rsid w:val="00C630BB"/>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2C159E"/>
    <w:rsid w:val="018A44B4"/>
    <w:rsid w:val="01922DC9"/>
    <w:rsid w:val="019924DC"/>
    <w:rsid w:val="021A1EAD"/>
    <w:rsid w:val="02293B5D"/>
    <w:rsid w:val="02316790"/>
    <w:rsid w:val="023E4914"/>
    <w:rsid w:val="02606320"/>
    <w:rsid w:val="026925B8"/>
    <w:rsid w:val="02734C55"/>
    <w:rsid w:val="02E9052A"/>
    <w:rsid w:val="02F10E60"/>
    <w:rsid w:val="03074C06"/>
    <w:rsid w:val="03387229"/>
    <w:rsid w:val="03443A6F"/>
    <w:rsid w:val="03724537"/>
    <w:rsid w:val="03851ED2"/>
    <w:rsid w:val="03F44933"/>
    <w:rsid w:val="04043AA5"/>
    <w:rsid w:val="041E7ACD"/>
    <w:rsid w:val="04382BE0"/>
    <w:rsid w:val="043E7102"/>
    <w:rsid w:val="045E7194"/>
    <w:rsid w:val="0477350E"/>
    <w:rsid w:val="048D42C4"/>
    <w:rsid w:val="04A006E1"/>
    <w:rsid w:val="04FA39D4"/>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805122"/>
    <w:rsid w:val="069353D8"/>
    <w:rsid w:val="06952ADA"/>
    <w:rsid w:val="069C1E5A"/>
    <w:rsid w:val="06DF7532"/>
    <w:rsid w:val="06F36A08"/>
    <w:rsid w:val="06FA560F"/>
    <w:rsid w:val="071B4038"/>
    <w:rsid w:val="07655DB3"/>
    <w:rsid w:val="07DA0583"/>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901CC5"/>
    <w:rsid w:val="0AFB55B6"/>
    <w:rsid w:val="0B072024"/>
    <w:rsid w:val="0B0914F5"/>
    <w:rsid w:val="0B110D86"/>
    <w:rsid w:val="0B2916C2"/>
    <w:rsid w:val="0B91761E"/>
    <w:rsid w:val="0BCA33E7"/>
    <w:rsid w:val="0BE77B0B"/>
    <w:rsid w:val="0C7051BF"/>
    <w:rsid w:val="0C83295D"/>
    <w:rsid w:val="0C89471E"/>
    <w:rsid w:val="0CAE5CFF"/>
    <w:rsid w:val="0D3E4270"/>
    <w:rsid w:val="0D494161"/>
    <w:rsid w:val="0D4F57E4"/>
    <w:rsid w:val="0D6669BD"/>
    <w:rsid w:val="0DC64678"/>
    <w:rsid w:val="0DCB05AE"/>
    <w:rsid w:val="0DF70178"/>
    <w:rsid w:val="0DF94899"/>
    <w:rsid w:val="0DFA1324"/>
    <w:rsid w:val="0E32410D"/>
    <w:rsid w:val="0EA6596A"/>
    <w:rsid w:val="0EA86D69"/>
    <w:rsid w:val="0EB14180"/>
    <w:rsid w:val="0EBC4E69"/>
    <w:rsid w:val="0EDD408A"/>
    <w:rsid w:val="0EF64818"/>
    <w:rsid w:val="0EFB37A0"/>
    <w:rsid w:val="0F1C6925"/>
    <w:rsid w:val="0F3D389D"/>
    <w:rsid w:val="0F434292"/>
    <w:rsid w:val="0F5A60DB"/>
    <w:rsid w:val="0F8236D5"/>
    <w:rsid w:val="0FA65B55"/>
    <w:rsid w:val="0FC55235"/>
    <w:rsid w:val="1009280B"/>
    <w:rsid w:val="10336278"/>
    <w:rsid w:val="1050087E"/>
    <w:rsid w:val="10882E59"/>
    <w:rsid w:val="10B2256F"/>
    <w:rsid w:val="10C17787"/>
    <w:rsid w:val="10C64A93"/>
    <w:rsid w:val="10DC68D5"/>
    <w:rsid w:val="10FF0C9D"/>
    <w:rsid w:val="111A473F"/>
    <w:rsid w:val="113C36AB"/>
    <w:rsid w:val="11803EC2"/>
    <w:rsid w:val="1189228D"/>
    <w:rsid w:val="11AC730F"/>
    <w:rsid w:val="11BC1C1F"/>
    <w:rsid w:val="11CF1EF1"/>
    <w:rsid w:val="11EA2CE5"/>
    <w:rsid w:val="120B1546"/>
    <w:rsid w:val="121A40C0"/>
    <w:rsid w:val="12254043"/>
    <w:rsid w:val="126D2AE8"/>
    <w:rsid w:val="12994AF8"/>
    <w:rsid w:val="12AE6B32"/>
    <w:rsid w:val="12C43EF0"/>
    <w:rsid w:val="12C4475B"/>
    <w:rsid w:val="12D6647C"/>
    <w:rsid w:val="132B46CB"/>
    <w:rsid w:val="1347382D"/>
    <w:rsid w:val="135421F8"/>
    <w:rsid w:val="13616BDF"/>
    <w:rsid w:val="13753967"/>
    <w:rsid w:val="1382369F"/>
    <w:rsid w:val="13A1080A"/>
    <w:rsid w:val="13DF2D80"/>
    <w:rsid w:val="13EB17D3"/>
    <w:rsid w:val="141122F3"/>
    <w:rsid w:val="142A4E08"/>
    <w:rsid w:val="146B3973"/>
    <w:rsid w:val="147D68DF"/>
    <w:rsid w:val="14DA386A"/>
    <w:rsid w:val="14F224D3"/>
    <w:rsid w:val="15063829"/>
    <w:rsid w:val="15073605"/>
    <w:rsid w:val="15134945"/>
    <w:rsid w:val="152A4236"/>
    <w:rsid w:val="152C2ACF"/>
    <w:rsid w:val="155807CF"/>
    <w:rsid w:val="15786FC5"/>
    <w:rsid w:val="15E6235C"/>
    <w:rsid w:val="15FA4347"/>
    <w:rsid w:val="162701DA"/>
    <w:rsid w:val="162B22EC"/>
    <w:rsid w:val="164C31F0"/>
    <w:rsid w:val="164D4538"/>
    <w:rsid w:val="169676BB"/>
    <w:rsid w:val="16AA643D"/>
    <w:rsid w:val="16C16894"/>
    <w:rsid w:val="16E62698"/>
    <w:rsid w:val="170B2AE0"/>
    <w:rsid w:val="170C2076"/>
    <w:rsid w:val="171347E8"/>
    <w:rsid w:val="171F0553"/>
    <w:rsid w:val="17656EC7"/>
    <w:rsid w:val="178B2FCA"/>
    <w:rsid w:val="17D73777"/>
    <w:rsid w:val="183A16EE"/>
    <w:rsid w:val="18430D66"/>
    <w:rsid w:val="185A6742"/>
    <w:rsid w:val="1867408B"/>
    <w:rsid w:val="188859CE"/>
    <w:rsid w:val="189F55F4"/>
    <w:rsid w:val="18BA4BB2"/>
    <w:rsid w:val="18F273A6"/>
    <w:rsid w:val="192A68C8"/>
    <w:rsid w:val="196E49C7"/>
    <w:rsid w:val="199F5019"/>
    <w:rsid w:val="19DF13F6"/>
    <w:rsid w:val="1A390864"/>
    <w:rsid w:val="1AC77936"/>
    <w:rsid w:val="1B06535A"/>
    <w:rsid w:val="1B181533"/>
    <w:rsid w:val="1B5A325C"/>
    <w:rsid w:val="1BA7556B"/>
    <w:rsid w:val="1BDE1760"/>
    <w:rsid w:val="1C1F4802"/>
    <w:rsid w:val="1C2551E1"/>
    <w:rsid w:val="1C2C362F"/>
    <w:rsid w:val="1C4B349A"/>
    <w:rsid w:val="1C656F34"/>
    <w:rsid w:val="1C946602"/>
    <w:rsid w:val="1CA232AC"/>
    <w:rsid w:val="1CB64299"/>
    <w:rsid w:val="1CCA7376"/>
    <w:rsid w:val="1D0B7287"/>
    <w:rsid w:val="1D0E5817"/>
    <w:rsid w:val="1D5D0FAA"/>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A701A7"/>
    <w:rsid w:val="1FB57329"/>
    <w:rsid w:val="1FE73C5F"/>
    <w:rsid w:val="1FF877BF"/>
    <w:rsid w:val="202915A2"/>
    <w:rsid w:val="2038536A"/>
    <w:rsid w:val="204539A1"/>
    <w:rsid w:val="207019F5"/>
    <w:rsid w:val="20BD4F55"/>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FB0688"/>
    <w:rsid w:val="231C0C23"/>
    <w:rsid w:val="232063A6"/>
    <w:rsid w:val="23415E37"/>
    <w:rsid w:val="23635693"/>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235A5B"/>
    <w:rsid w:val="262E24B2"/>
    <w:rsid w:val="268B284C"/>
    <w:rsid w:val="26A26BEE"/>
    <w:rsid w:val="26C7367F"/>
    <w:rsid w:val="26CD70F0"/>
    <w:rsid w:val="26FE1742"/>
    <w:rsid w:val="26FF1B22"/>
    <w:rsid w:val="2701248A"/>
    <w:rsid w:val="27015D0E"/>
    <w:rsid w:val="271929B7"/>
    <w:rsid w:val="272B4880"/>
    <w:rsid w:val="274F6261"/>
    <w:rsid w:val="277A093D"/>
    <w:rsid w:val="278241BD"/>
    <w:rsid w:val="27971706"/>
    <w:rsid w:val="279767AD"/>
    <w:rsid w:val="27AD4EE7"/>
    <w:rsid w:val="280755BB"/>
    <w:rsid w:val="286D29E1"/>
    <w:rsid w:val="288521C4"/>
    <w:rsid w:val="288714FD"/>
    <w:rsid w:val="28CC3AA7"/>
    <w:rsid w:val="28EA436C"/>
    <w:rsid w:val="29215BA4"/>
    <w:rsid w:val="292C2C6B"/>
    <w:rsid w:val="29660000"/>
    <w:rsid w:val="298A5CBE"/>
    <w:rsid w:val="29A65A1D"/>
    <w:rsid w:val="29AF38AF"/>
    <w:rsid w:val="29B4634A"/>
    <w:rsid w:val="29CB2ED6"/>
    <w:rsid w:val="29E36898"/>
    <w:rsid w:val="29EA6C76"/>
    <w:rsid w:val="29F10992"/>
    <w:rsid w:val="2A1E12B3"/>
    <w:rsid w:val="2A2E1289"/>
    <w:rsid w:val="2A51023B"/>
    <w:rsid w:val="2A6922E4"/>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E22AB5"/>
    <w:rsid w:val="2CEC3D37"/>
    <w:rsid w:val="2D290A92"/>
    <w:rsid w:val="2D845825"/>
    <w:rsid w:val="2D9A7120"/>
    <w:rsid w:val="2DC50F24"/>
    <w:rsid w:val="2DE435D2"/>
    <w:rsid w:val="2DF36570"/>
    <w:rsid w:val="2DFB67F6"/>
    <w:rsid w:val="2E235B1A"/>
    <w:rsid w:val="2E2D4D5E"/>
    <w:rsid w:val="2E3512B9"/>
    <w:rsid w:val="2ECF2A5B"/>
    <w:rsid w:val="2F2D4173"/>
    <w:rsid w:val="2F3C308F"/>
    <w:rsid w:val="2F8278DB"/>
    <w:rsid w:val="2F9C7A54"/>
    <w:rsid w:val="2F9D6043"/>
    <w:rsid w:val="2FC04163"/>
    <w:rsid w:val="2FD33140"/>
    <w:rsid w:val="2FD71C09"/>
    <w:rsid w:val="3006129D"/>
    <w:rsid w:val="30B5333E"/>
    <w:rsid w:val="30F90549"/>
    <w:rsid w:val="31102A9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B33591"/>
    <w:rsid w:val="33BA6579"/>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5D929B4"/>
    <w:rsid w:val="36082408"/>
    <w:rsid w:val="360F267E"/>
    <w:rsid w:val="36502534"/>
    <w:rsid w:val="365A50BB"/>
    <w:rsid w:val="366E68DA"/>
    <w:rsid w:val="36881F0D"/>
    <w:rsid w:val="36A345C4"/>
    <w:rsid w:val="36C41867"/>
    <w:rsid w:val="36CC24F7"/>
    <w:rsid w:val="370B3942"/>
    <w:rsid w:val="370E4C3C"/>
    <w:rsid w:val="373C3CC0"/>
    <w:rsid w:val="374E1D76"/>
    <w:rsid w:val="375436D4"/>
    <w:rsid w:val="37545502"/>
    <w:rsid w:val="37855348"/>
    <w:rsid w:val="37916990"/>
    <w:rsid w:val="37D4606B"/>
    <w:rsid w:val="37FA4F3B"/>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32F16"/>
    <w:rsid w:val="3A1B3237"/>
    <w:rsid w:val="3A93517E"/>
    <w:rsid w:val="3B3B0691"/>
    <w:rsid w:val="3B42434C"/>
    <w:rsid w:val="3B761321"/>
    <w:rsid w:val="3BE55A8F"/>
    <w:rsid w:val="3BF44C1A"/>
    <w:rsid w:val="3C030505"/>
    <w:rsid w:val="3C202FB4"/>
    <w:rsid w:val="3C34574B"/>
    <w:rsid w:val="3C5A2D1C"/>
    <w:rsid w:val="3C722C08"/>
    <w:rsid w:val="3C7941AB"/>
    <w:rsid w:val="3CB37024"/>
    <w:rsid w:val="3CE47750"/>
    <w:rsid w:val="3D057F7D"/>
    <w:rsid w:val="3D0976C4"/>
    <w:rsid w:val="3D174C49"/>
    <w:rsid w:val="3D4752E9"/>
    <w:rsid w:val="3D7E34D1"/>
    <w:rsid w:val="3D8C258A"/>
    <w:rsid w:val="3DA7157D"/>
    <w:rsid w:val="3E0347A6"/>
    <w:rsid w:val="3E37139E"/>
    <w:rsid w:val="3E386E20"/>
    <w:rsid w:val="3E586680"/>
    <w:rsid w:val="3E5C5F16"/>
    <w:rsid w:val="3E7E6A1E"/>
    <w:rsid w:val="3EC2511D"/>
    <w:rsid w:val="3F3527DB"/>
    <w:rsid w:val="3F544A31"/>
    <w:rsid w:val="3F610CAF"/>
    <w:rsid w:val="3F92191C"/>
    <w:rsid w:val="402F14D9"/>
    <w:rsid w:val="4042437C"/>
    <w:rsid w:val="40437225"/>
    <w:rsid w:val="40666255"/>
    <w:rsid w:val="40852B71"/>
    <w:rsid w:val="40A56A55"/>
    <w:rsid w:val="40D04F96"/>
    <w:rsid w:val="412F650A"/>
    <w:rsid w:val="413520C0"/>
    <w:rsid w:val="4154383A"/>
    <w:rsid w:val="415826D8"/>
    <w:rsid w:val="416A77B2"/>
    <w:rsid w:val="41DB653A"/>
    <w:rsid w:val="42092064"/>
    <w:rsid w:val="422B3A5C"/>
    <w:rsid w:val="426875C2"/>
    <w:rsid w:val="427E562E"/>
    <w:rsid w:val="42C22B34"/>
    <w:rsid w:val="42C433F4"/>
    <w:rsid w:val="42F624A6"/>
    <w:rsid w:val="43297F3D"/>
    <w:rsid w:val="434C069A"/>
    <w:rsid w:val="43707565"/>
    <w:rsid w:val="43D92772"/>
    <w:rsid w:val="43EF1C5D"/>
    <w:rsid w:val="4412373D"/>
    <w:rsid w:val="446F41E7"/>
    <w:rsid w:val="44846EF4"/>
    <w:rsid w:val="448B20BD"/>
    <w:rsid w:val="44965297"/>
    <w:rsid w:val="44D00889"/>
    <w:rsid w:val="44DB3186"/>
    <w:rsid w:val="44DC1DE0"/>
    <w:rsid w:val="44E01453"/>
    <w:rsid w:val="44F11AA7"/>
    <w:rsid w:val="453146CD"/>
    <w:rsid w:val="455A36D4"/>
    <w:rsid w:val="45642733"/>
    <w:rsid w:val="45A71D3F"/>
    <w:rsid w:val="45CA6AB2"/>
    <w:rsid w:val="45FB5915"/>
    <w:rsid w:val="462875A5"/>
    <w:rsid w:val="462E6C0B"/>
    <w:rsid w:val="46A401F3"/>
    <w:rsid w:val="47077F50"/>
    <w:rsid w:val="47251D48"/>
    <w:rsid w:val="475A0EB2"/>
    <w:rsid w:val="475B3E56"/>
    <w:rsid w:val="475E4BEA"/>
    <w:rsid w:val="47766E62"/>
    <w:rsid w:val="4794334B"/>
    <w:rsid w:val="479E21BE"/>
    <w:rsid w:val="47CB5980"/>
    <w:rsid w:val="47E7569B"/>
    <w:rsid w:val="488739F0"/>
    <w:rsid w:val="489D3386"/>
    <w:rsid w:val="48BA78DE"/>
    <w:rsid w:val="48C2276C"/>
    <w:rsid w:val="48CA70FD"/>
    <w:rsid w:val="48CB5058"/>
    <w:rsid w:val="48CC2435"/>
    <w:rsid w:val="490D4C4F"/>
    <w:rsid w:val="499814CB"/>
    <w:rsid w:val="499C42E2"/>
    <w:rsid w:val="49EF494F"/>
    <w:rsid w:val="49FA026B"/>
    <w:rsid w:val="49FA3470"/>
    <w:rsid w:val="4A3B658D"/>
    <w:rsid w:val="4A596B7C"/>
    <w:rsid w:val="4A5E3A23"/>
    <w:rsid w:val="4A92373A"/>
    <w:rsid w:val="4AA043AA"/>
    <w:rsid w:val="4AB371A3"/>
    <w:rsid w:val="4ABA51D3"/>
    <w:rsid w:val="4ABD1A49"/>
    <w:rsid w:val="4AD16E3D"/>
    <w:rsid w:val="4AD762EF"/>
    <w:rsid w:val="4B080ABC"/>
    <w:rsid w:val="4B17556D"/>
    <w:rsid w:val="4B26785E"/>
    <w:rsid w:val="4B46248B"/>
    <w:rsid w:val="4B8D6483"/>
    <w:rsid w:val="4B994F91"/>
    <w:rsid w:val="4BBD33CE"/>
    <w:rsid w:val="4BC75233"/>
    <w:rsid w:val="4BD32683"/>
    <w:rsid w:val="4C5B7BDE"/>
    <w:rsid w:val="4CBB5870"/>
    <w:rsid w:val="4D0E12D1"/>
    <w:rsid w:val="4D291727"/>
    <w:rsid w:val="4D2A6786"/>
    <w:rsid w:val="4D3913B2"/>
    <w:rsid w:val="4D681C3A"/>
    <w:rsid w:val="4D976B7C"/>
    <w:rsid w:val="4DAA76F7"/>
    <w:rsid w:val="4DBE1C1A"/>
    <w:rsid w:val="4DBE5B54"/>
    <w:rsid w:val="4DD8418D"/>
    <w:rsid w:val="4DEF06D0"/>
    <w:rsid w:val="4DFF0486"/>
    <w:rsid w:val="4DFF3300"/>
    <w:rsid w:val="4E0C0B2F"/>
    <w:rsid w:val="4EC455F3"/>
    <w:rsid w:val="4EC877D1"/>
    <w:rsid w:val="4F203DE0"/>
    <w:rsid w:val="4F4D2A58"/>
    <w:rsid w:val="4F72431F"/>
    <w:rsid w:val="4F854846"/>
    <w:rsid w:val="4FA90FFB"/>
    <w:rsid w:val="4FBE780A"/>
    <w:rsid w:val="4FF442B8"/>
    <w:rsid w:val="4FF74036"/>
    <w:rsid w:val="5023371B"/>
    <w:rsid w:val="50310B07"/>
    <w:rsid w:val="503A7D50"/>
    <w:rsid w:val="50573EE0"/>
    <w:rsid w:val="50687EE1"/>
    <w:rsid w:val="50825ABD"/>
    <w:rsid w:val="50847E24"/>
    <w:rsid w:val="508B2042"/>
    <w:rsid w:val="50A117D4"/>
    <w:rsid w:val="50DC48AF"/>
    <w:rsid w:val="50F1625A"/>
    <w:rsid w:val="51105FA0"/>
    <w:rsid w:val="5124215A"/>
    <w:rsid w:val="51320B4E"/>
    <w:rsid w:val="517806BF"/>
    <w:rsid w:val="519B7926"/>
    <w:rsid w:val="51B15013"/>
    <w:rsid w:val="51E62428"/>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5010510"/>
    <w:rsid w:val="55061C05"/>
    <w:rsid w:val="550D4C7E"/>
    <w:rsid w:val="55361973"/>
    <w:rsid w:val="55826059"/>
    <w:rsid w:val="55B577AC"/>
    <w:rsid w:val="55DB4169"/>
    <w:rsid w:val="56021E2A"/>
    <w:rsid w:val="560A0CCC"/>
    <w:rsid w:val="560A7BA7"/>
    <w:rsid w:val="561E24B4"/>
    <w:rsid w:val="567233E3"/>
    <w:rsid w:val="56813D12"/>
    <w:rsid w:val="56D53EDE"/>
    <w:rsid w:val="56EE39E7"/>
    <w:rsid w:val="56FE0584"/>
    <w:rsid w:val="573B17CB"/>
    <w:rsid w:val="573D4E87"/>
    <w:rsid w:val="5780131E"/>
    <w:rsid w:val="5781514F"/>
    <w:rsid w:val="578D15B1"/>
    <w:rsid w:val="57A25E51"/>
    <w:rsid w:val="57E45843"/>
    <w:rsid w:val="57F77A99"/>
    <w:rsid w:val="58036FF1"/>
    <w:rsid w:val="581F31B7"/>
    <w:rsid w:val="585B2F03"/>
    <w:rsid w:val="585D5FF5"/>
    <w:rsid w:val="58803767"/>
    <w:rsid w:val="58807951"/>
    <w:rsid w:val="58AB476E"/>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47B40"/>
    <w:rsid w:val="5BA3302A"/>
    <w:rsid w:val="5BC85BF2"/>
    <w:rsid w:val="5BD04072"/>
    <w:rsid w:val="5BD15CD7"/>
    <w:rsid w:val="5BD62506"/>
    <w:rsid w:val="5BDC7171"/>
    <w:rsid w:val="5C281CBF"/>
    <w:rsid w:val="5C375F97"/>
    <w:rsid w:val="5C3F2313"/>
    <w:rsid w:val="5C7F704A"/>
    <w:rsid w:val="5CD003EE"/>
    <w:rsid w:val="5CDB0255"/>
    <w:rsid w:val="5CED0783"/>
    <w:rsid w:val="5D0040C4"/>
    <w:rsid w:val="5D1B5705"/>
    <w:rsid w:val="5D3868D0"/>
    <w:rsid w:val="5D3D5F84"/>
    <w:rsid w:val="5D464C29"/>
    <w:rsid w:val="5D53015C"/>
    <w:rsid w:val="5D72396D"/>
    <w:rsid w:val="5D771884"/>
    <w:rsid w:val="5D96394F"/>
    <w:rsid w:val="5DCC1CA1"/>
    <w:rsid w:val="5DF6043F"/>
    <w:rsid w:val="5DFE13F7"/>
    <w:rsid w:val="5E0A56D8"/>
    <w:rsid w:val="5E230800"/>
    <w:rsid w:val="5E271CE1"/>
    <w:rsid w:val="5E3B3CA9"/>
    <w:rsid w:val="5F103D27"/>
    <w:rsid w:val="5F88394B"/>
    <w:rsid w:val="5F8A6E4E"/>
    <w:rsid w:val="5F924DC1"/>
    <w:rsid w:val="5FB95257"/>
    <w:rsid w:val="5FC20401"/>
    <w:rsid w:val="5FD93159"/>
    <w:rsid w:val="5FE837F5"/>
    <w:rsid w:val="5FF56D43"/>
    <w:rsid w:val="5FF6617D"/>
    <w:rsid w:val="5FFE2592"/>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2E56542"/>
    <w:rsid w:val="632623AE"/>
    <w:rsid w:val="634B6A33"/>
    <w:rsid w:val="63537050"/>
    <w:rsid w:val="6366073D"/>
    <w:rsid w:val="636907F4"/>
    <w:rsid w:val="637451BA"/>
    <w:rsid w:val="63856835"/>
    <w:rsid w:val="638C7095"/>
    <w:rsid w:val="64481CC9"/>
    <w:rsid w:val="648264B3"/>
    <w:rsid w:val="64B74F47"/>
    <w:rsid w:val="64EB5CA0"/>
    <w:rsid w:val="64F91C54"/>
    <w:rsid w:val="65031CD1"/>
    <w:rsid w:val="650352E9"/>
    <w:rsid w:val="65053E1E"/>
    <w:rsid w:val="65054FBD"/>
    <w:rsid w:val="650B73ED"/>
    <w:rsid w:val="6538514A"/>
    <w:rsid w:val="65420171"/>
    <w:rsid w:val="654A7DDA"/>
    <w:rsid w:val="65526949"/>
    <w:rsid w:val="65A72A09"/>
    <w:rsid w:val="65D5075D"/>
    <w:rsid w:val="65FC49E9"/>
    <w:rsid w:val="662827D9"/>
    <w:rsid w:val="662A0A38"/>
    <w:rsid w:val="66486107"/>
    <w:rsid w:val="66494234"/>
    <w:rsid w:val="665011DF"/>
    <w:rsid w:val="6684029B"/>
    <w:rsid w:val="668556F5"/>
    <w:rsid w:val="669A7F65"/>
    <w:rsid w:val="66A91DAE"/>
    <w:rsid w:val="66B35A7A"/>
    <w:rsid w:val="66C83341"/>
    <w:rsid w:val="66D76328"/>
    <w:rsid w:val="66E50D0E"/>
    <w:rsid w:val="66EC2A81"/>
    <w:rsid w:val="67247A5C"/>
    <w:rsid w:val="672B1A53"/>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31477"/>
    <w:rsid w:val="6A9F20FF"/>
    <w:rsid w:val="6AB2237C"/>
    <w:rsid w:val="6AC04C83"/>
    <w:rsid w:val="6AEF0C5E"/>
    <w:rsid w:val="6B31046B"/>
    <w:rsid w:val="6B400911"/>
    <w:rsid w:val="6B41632D"/>
    <w:rsid w:val="6BA0669E"/>
    <w:rsid w:val="6BCB6198"/>
    <w:rsid w:val="6BF273EB"/>
    <w:rsid w:val="6C1908AC"/>
    <w:rsid w:val="6C2D5854"/>
    <w:rsid w:val="6C402394"/>
    <w:rsid w:val="6C6D2D0D"/>
    <w:rsid w:val="6C7453DE"/>
    <w:rsid w:val="6C855301"/>
    <w:rsid w:val="6CB82518"/>
    <w:rsid w:val="6CBC13F4"/>
    <w:rsid w:val="6CD25BDE"/>
    <w:rsid w:val="6D016666"/>
    <w:rsid w:val="6D1F041D"/>
    <w:rsid w:val="6D39700C"/>
    <w:rsid w:val="6D4C79DE"/>
    <w:rsid w:val="6D541BC0"/>
    <w:rsid w:val="6D8650A8"/>
    <w:rsid w:val="6DA97C2D"/>
    <w:rsid w:val="6DF767A3"/>
    <w:rsid w:val="6E000787"/>
    <w:rsid w:val="6E091096"/>
    <w:rsid w:val="6E4352D1"/>
    <w:rsid w:val="6E737441"/>
    <w:rsid w:val="6EBC030F"/>
    <w:rsid w:val="6EDE230E"/>
    <w:rsid w:val="6EE7690C"/>
    <w:rsid w:val="6F2F55F5"/>
    <w:rsid w:val="6F64004E"/>
    <w:rsid w:val="6F833ED3"/>
    <w:rsid w:val="6F965814"/>
    <w:rsid w:val="6FE31E38"/>
    <w:rsid w:val="700B69B6"/>
    <w:rsid w:val="7016717C"/>
    <w:rsid w:val="701F46BD"/>
    <w:rsid w:val="704F6C8A"/>
    <w:rsid w:val="70512CBB"/>
    <w:rsid w:val="707F045E"/>
    <w:rsid w:val="708B7819"/>
    <w:rsid w:val="70B7737C"/>
    <w:rsid w:val="70C55830"/>
    <w:rsid w:val="70D06298"/>
    <w:rsid w:val="70D37054"/>
    <w:rsid w:val="71263532"/>
    <w:rsid w:val="71651736"/>
    <w:rsid w:val="72085F0E"/>
    <w:rsid w:val="7248108B"/>
    <w:rsid w:val="724A05E8"/>
    <w:rsid w:val="724D54DA"/>
    <w:rsid w:val="72811853"/>
    <w:rsid w:val="72BC0523"/>
    <w:rsid w:val="72D37019"/>
    <w:rsid w:val="735D7D1C"/>
    <w:rsid w:val="736C40F1"/>
    <w:rsid w:val="738C1DEC"/>
    <w:rsid w:val="73CD5085"/>
    <w:rsid w:val="741065A6"/>
    <w:rsid w:val="74261C2A"/>
    <w:rsid w:val="743375DF"/>
    <w:rsid w:val="743E4FDA"/>
    <w:rsid w:val="74454306"/>
    <w:rsid w:val="745D14B7"/>
    <w:rsid w:val="74824798"/>
    <w:rsid w:val="74BE1A94"/>
    <w:rsid w:val="74F2341B"/>
    <w:rsid w:val="7502185A"/>
    <w:rsid w:val="751F5A9C"/>
    <w:rsid w:val="7553092D"/>
    <w:rsid w:val="755B7EA8"/>
    <w:rsid w:val="7595642F"/>
    <w:rsid w:val="75B94C15"/>
    <w:rsid w:val="76075D1D"/>
    <w:rsid w:val="763F7F9F"/>
    <w:rsid w:val="76495049"/>
    <w:rsid w:val="76761FF2"/>
    <w:rsid w:val="769F52A1"/>
    <w:rsid w:val="76DE5B74"/>
    <w:rsid w:val="76EE55AC"/>
    <w:rsid w:val="76F220C7"/>
    <w:rsid w:val="772671D2"/>
    <w:rsid w:val="77440E21"/>
    <w:rsid w:val="77674620"/>
    <w:rsid w:val="779F79D2"/>
    <w:rsid w:val="77AE4C12"/>
    <w:rsid w:val="78047CE4"/>
    <w:rsid w:val="78121F2E"/>
    <w:rsid w:val="78344EE6"/>
    <w:rsid w:val="783A61D4"/>
    <w:rsid w:val="7844255D"/>
    <w:rsid w:val="78444A87"/>
    <w:rsid w:val="784721A0"/>
    <w:rsid w:val="7885742D"/>
    <w:rsid w:val="78972FCD"/>
    <w:rsid w:val="78B31F94"/>
    <w:rsid w:val="78CC7AA9"/>
    <w:rsid w:val="78D90277"/>
    <w:rsid w:val="78F66B43"/>
    <w:rsid w:val="7907149F"/>
    <w:rsid w:val="792E5ADB"/>
    <w:rsid w:val="793A736F"/>
    <w:rsid w:val="795A6E1D"/>
    <w:rsid w:val="79630533"/>
    <w:rsid w:val="7972680A"/>
    <w:rsid w:val="79B35723"/>
    <w:rsid w:val="79E15DA3"/>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36936"/>
    <w:rsid w:val="7C585E3C"/>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96EB6"/>
    <w:rsid w:val="7EFE6461"/>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paragraph" w:styleId="6">
    <w:name w:val="heading 2"/>
    <w:basedOn w:val="1"/>
    <w:next w:val="7"/>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8">
    <w:name w:val="heading 3"/>
    <w:basedOn w:val="1"/>
    <w:next w:val="7"/>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kern w:val="0"/>
      <w:szCs w:val="20"/>
    </w:rPr>
  </w:style>
  <w:style w:type="paragraph" w:styleId="3">
    <w:name w:val="Body Text"/>
    <w:basedOn w:val="1"/>
    <w:next w:val="4"/>
    <w:link w:val="75"/>
    <w:qFormat/>
    <w:uiPriority w:val="0"/>
    <w:pPr>
      <w:tabs>
        <w:tab w:val="left" w:pos="567"/>
      </w:tabs>
      <w:spacing w:before="120" w:line="22" w:lineRule="atLeast"/>
    </w:pPr>
    <w:rPr>
      <w:rFonts w:ascii="宋体" w:hAnsi="宋体"/>
      <w:sz w:val="24"/>
    </w:rPr>
  </w:style>
  <w:style w:type="paragraph" w:styleId="4">
    <w:name w:val="toc 2"/>
    <w:basedOn w:val="1"/>
    <w:next w:val="1"/>
    <w:qFormat/>
    <w:uiPriority w:val="39"/>
    <w:pPr>
      <w:spacing w:line="500" w:lineRule="exact"/>
      <w:ind w:left="200" w:leftChars="200"/>
    </w:pPr>
    <w:rPr>
      <w:sz w:val="24"/>
    </w:rPr>
  </w:style>
  <w:style w:type="paragraph" w:styleId="7">
    <w:name w:val="Normal Indent"/>
    <w:basedOn w:val="1"/>
    <w:link w:val="52"/>
    <w:qFormat/>
    <w:uiPriority w:val="0"/>
    <w:pPr>
      <w:autoSpaceDE w:val="0"/>
      <w:autoSpaceDN w:val="0"/>
      <w:adjustRightInd w:val="0"/>
      <w:ind w:firstLine="420"/>
      <w:jc w:val="left"/>
    </w:pPr>
    <w:rPr>
      <w:rFonts w:ascii="宋体"/>
      <w:kern w:val="0"/>
      <w:sz w:val="24"/>
      <w:szCs w:val="20"/>
    </w:rPr>
  </w:style>
  <w:style w:type="paragraph" w:styleId="9">
    <w:name w:val="caption"/>
    <w:basedOn w:val="1"/>
    <w:next w:val="1"/>
    <w:qFormat/>
    <w:uiPriority w:val="0"/>
    <w:pPr>
      <w:spacing w:before="152" w:after="160"/>
    </w:pPr>
    <w:rPr>
      <w:rFonts w:ascii="Arial" w:hAnsi="Arial" w:eastAsia="黑体" w:cs="Arial"/>
      <w:kern w:val="0"/>
      <w:sz w:val="20"/>
      <w:szCs w:val="20"/>
    </w:rPr>
  </w:style>
  <w:style w:type="paragraph" w:styleId="10">
    <w:name w:val="Document Map"/>
    <w:basedOn w:val="1"/>
    <w:link w:val="50"/>
    <w:qFormat/>
    <w:uiPriority w:val="0"/>
    <w:rPr>
      <w:rFonts w:ascii="宋体"/>
      <w:sz w:val="18"/>
      <w:szCs w:val="18"/>
    </w:rPr>
  </w:style>
  <w:style w:type="paragraph" w:styleId="11">
    <w:name w:val="annotation text"/>
    <w:basedOn w:val="1"/>
    <w:link w:val="48"/>
    <w:qFormat/>
    <w:uiPriority w:val="99"/>
    <w:pPr>
      <w:jc w:val="left"/>
    </w:pPr>
    <w:rPr>
      <w:rFonts w:ascii="仿宋_GB2312" w:eastAsia="仿宋_GB2312"/>
      <w:sz w:val="32"/>
      <w:szCs w:val="32"/>
    </w:rPr>
  </w:style>
  <w:style w:type="paragraph" w:styleId="12">
    <w:name w:val="Body Text Indent"/>
    <w:basedOn w:val="1"/>
    <w:qFormat/>
    <w:uiPriority w:val="0"/>
    <w:pPr>
      <w:spacing w:after="120"/>
      <w:ind w:left="420" w:leftChars="200"/>
    </w:pPr>
  </w:style>
  <w:style w:type="paragraph" w:styleId="13">
    <w:name w:val="Block Text"/>
    <w:basedOn w:val="1"/>
    <w:unhideWhenUsed/>
    <w:qFormat/>
    <w:uiPriority w:val="99"/>
    <w:pPr>
      <w:spacing w:after="120"/>
      <w:ind w:left="1440" w:leftChars="700" w:right="1440" w:rightChars="700"/>
    </w:pPr>
  </w:style>
  <w:style w:type="paragraph" w:styleId="14">
    <w:name w:val="toc 3"/>
    <w:basedOn w:val="1"/>
    <w:next w:val="1"/>
    <w:qFormat/>
    <w:uiPriority w:val="39"/>
    <w:pPr>
      <w:spacing w:line="500" w:lineRule="exact"/>
      <w:ind w:left="400" w:leftChars="400"/>
    </w:pPr>
    <w:rPr>
      <w:sz w:val="24"/>
    </w:rPr>
  </w:style>
  <w:style w:type="paragraph" w:styleId="15">
    <w:name w:val="Plain Text"/>
    <w:basedOn w:val="1"/>
    <w:link w:val="51"/>
    <w:qFormat/>
    <w:uiPriority w:val="0"/>
    <w:rPr>
      <w:rFonts w:ascii="宋体" w:hAnsi="Courier New"/>
      <w:szCs w:val="20"/>
    </w:rPr>
  </w:style>
  <w:style w:type="paragraph" w:styleId="16">
    <w:name w:val="Date"/>
    <w:basedOn w:val="1"/>
    <w:next w:val="1"/>
    <w:link w:val="53"/>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Normal (Web)"/>
    <w:basedOn w:val="1"/>
    <w:unhideWhenUsed/>
    <w:qFormat/>
    <w:uiPriority w:val="0"/>
    <w:pPr>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11"/>
    <w:next w:val="11"/>
    <w:semiHidden/>
    <w:qFormat/>
    <w:uiPriority w:val="0"/>
    <w:rPr>
      <w:rFonts w:ascii="Times New Roman" w:eastAsia="宋体"/>
      <w:b/>
      <w:bCs/>
      <w:sz w:val="21"/>
      <w:szCs w:val="24"/>
    </w:rPr>
  </w:style>
  <w:style w:type="paragraph" w:styleId="25">
    <w:name w:val="Body Text First Indent"/>
    <w:basedOn w:val="3"/>
    <w:link w:val="76"/>
    <w:qFormat/>
    <w:uiPriority w:val="0"/>
    <w:pPr>
      <w:tabs>
        <w:tab w:val="clear" w:pos="567"/>
      </w:tabs>
      <w:spacing w:before="0" w:after="120" w:line="240" w:lineRule="auto"/>
      <w:ind w:firstLine="420" w:firstLineChars="100"/>
    </w:pPr>
    <w:rPr>
      <w:rFonts w:ascii="Calibri" w:hAnsi="Calibri"/>
      <w:sz w:val="21"/>
    </w:rPr>
  </w:style>
  <w:style w:type="paragraph" w:styleId="26">
    <w:name w:val="Body Text First Indent 2"/>
    <w:basedOn w:val="12"/>
    <w:unhideWhenUsed/>
    <w:qFormat/>
    <w:uiPriority w:val="0"/>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none"/>
    </w:rPr>
  </w:style>
  <w:style w:type="character" w:styleId="33">
    <w:name w:val="Emphasis"/>
    <w:basedOn w:val="29"/>
    <w:qFormat/>
    <w:uiPriority w:val="0"/>
  </w:style>
  <w:style w:type="character" w:styleId="34">
    <w:name w:val="HTML Definition"/>
    <w:basedOn w:val="29"/>
    <w:semiHidden/>
    <w:unhideWhenUsed/>
    <w:qFormat/>
    <w:uiPriority w:val="0"/>
  </w:style>
  <w:style w:type="character" w:styleId="35">
    <w:name w:val="HTML Typewriter"/>
    <w:basedOn w:val="29"/>
    <w:semiHidden/>
    <w:unhideWhenUsed/>
    <w:qFormat/>
    <w:uiPriority w:val="0"/>
    <w:rPr>
      <w:rFonts w:ascii="monospace" w:hAnsi="monospace" w:eastAsia="monospace" w:cs="monospace"/>
      <w:sz w:val="20"/>
    </w:rPr>
  </w:style>
  <w:style w:type="character" w:styleId="36">
    <w:name w:val="HTML Acronym"/>
    <w:basedOn w:val="29"/>
    <w:semiHidden/>
    <w:unhideWhenUsed/>
    <w:qFormat/>
    <w:uiPriority w:val="0"/>
  </w:style>
  <w:style w:type="character" w:styleId="37">
    <w:name w:val="HTML Variable"/>
    <w:basedOn w:val="29"/>
    <w:semiHidden/>
    <w:unhideWhenUsed/>
    <w:qFormat/>
    <w:uiPriority w:val="0"/>
  </w:style>
  <w:style w:type="character" w:styleId="38">
    <w:name w:val="Hyperlink"/>
    <w:basedOn w:val="29"/>
    <w:qFormat/>
    <w:uiPriority w:val="99"/>
    <w:rPr>
      <w:color w:val="0000FF"/>
      <w:u w:val="none"/>
    </w:rPr>
  </w:style>
  <w:style w:type="character" w:styleId="39">
    <w:name w:val="HTML Code"/>
    <w:basedOn w:val="29"/>
    <w:semiHidden/>
    <w:unhideWhenUsed/>
    <w:qFormat/>
    <w:uiPriority w:val="0"/>
    <w:rPr>
      <w:rFonts w:hint="default" w:ascii="monospace" w:hAnsi="monospace" w:eastAsia="monospace" w:cs="monospace"/>
      <w:sz w:val="20"/>
    </w:rPr>
  </w:style>
  <w:style w:type="character" w:styleId="40">
    <w:name w:val="annotation reference"/>
    <w:semiHidden/>
    <w:qFormat/>
    <w:uiPriority w:val="99"/>
    <w:rPr>
      <w:sz w:val="21"/>
      <w:szCs w:val="21"/>
    </w:rPr>
  </w:style>
  <w:style w:type="character" w:styleId="41">
    <w:name w:val="HTML Cite"/>
    <w:basedOn w:val="29"/>
    <w:semiHidden/>
    <w:unhideWhenUsed/>
    <w:qFormat/>
    <w:uiPriority w:val="0"/>
  </w:style>
  <w:style w:type="character" w:styleId="42">
    <w:name w:val="HTML Keyboard"/>
    <w:basedOn w:val="29"/>
    <w:semiHidden/>
    <w:unhideWhenUsed/>
    <w:qFormat/>
    <w:uiPriority w:val="0"/>
    <w:rPr>
      <w:rFonts w:hint="default" w:ascii="monospace" w:hAnsi="monospace" w:eastAsia="monospace" w:cs="monospace"/>
      <w:sz w:val="20"/>
    </w:rPr>
  </w:style>
  <w:style w:type="character" w:styleId="43">
    <w:name w:val="HTML Sample"/>
    <w:basedOn w:val="29"/>
    <w:semiHidden/>
    <w:unhideWhenUsed/>
    <w:qFormat/>
    <w:uiPriority w:val="0"/>
    <w:rPr>
      <w:rFonts w:hint="default" w:ascii="monospace" w:hAnsi="monospace" w:eastAsia="monospace" w:cs="monospace"/>
    </w:rPr>
  </w:style>
  <w:style w:type="paragraph" w:customStyle="1" w:styleId="44">
    <w:name w:val="正文 New"/>
    <w:basedOn w:val="1"/>
    <w:qFormat/>
    <w:uiPriority w:val="0"/>
    <w:pPr>
      <w:spacing w:before="100" w:beforeAutospacing="1" w:after="100" w:afterAutospacing="1" w:line="440" w:lineRule="exact"/>
      <w:ind w:left="357" w:hanging="357"/>
    </w:pPr>
    <w:rPr>
      <w:szCs w:val="21"/>
    </w:rPr>
  </w:style>
  <w:style w:type="paragraph" w:customStyle="1" w:styleId="45">
    <w:name w:val="模板普通正文"/>
    <w:basedOn w:val="12"/>
    <w:qFormat/>
    <w:uiPriority w:val="0"/>
    <w:pPr>
      <w:spacing w:beforeLines="50" w:after="10"/>
      <w:ind w:firstLine="490" w:firstLineChars="175"/>
      <w:jc w:val="left"/>
    </w:pPr>
  </w:style>
  <w:style w:type="character" w:customStyle="1" w:styleId="46">
    <w:name w:val="样式（正文） Char"/>
    <w:link w:val="47"/>
    <w:qFormat/>
    <w:locked/>
    <w:uiPriority w:val="0"/>
    <w:rPr>
      <w:rFonts w:ascii="宋体" w:hAnsi="宋体" w:eastAsia="宋体"/>
      <w:kern w:val="2"/>
      <w:sz w:val="24"/>
      <w:szCs w:val="22"/>
      <w:lang w:bidi="ar-SA"/>
    </w:rPr>
  </w:style>
  <w:style w:type="paragraph" w:customStyle="1" w:styleId="47">
    <w:name w:val="样式（正文）"/>
    <w:basedOn w:val="1"/>
    <w:link w:val="46"/>
    <w:qFormat/>
    <w:uiPriority w:val="0"/>
    <w:pPr>
      <w:spacing w:line="360" w:lineRule="auto"/>
      <w:ind w:firstLine="200" w:firstLineChars="200"/>
    </w:pPr>
    <w:rPr>
      <w:rFonts w:ascii="宋体" w:hAnsi="宋体"/>
      <w:sz w:val="24"/>
      <w:szCs w:val="22"/>
    </w:rPr>
  </w:style>
  <w:style w:type="character" w:customStyle="1" w:styleId="48">
    <w:name w:val="批注文字 Char"/>
    <w:link w:val="11"/>
    <w:qFormat/>
    <w:uiPriority w:val="99"/>
    <w:rPr>
      <w:rFonts w:ascii="仿宋_GB2312" w:eastAsia="仿宋_GB2312"/>
      <w:kern w:val="2"/>
      <w:sz w:val="32"/>
      <w:szCs w:val="32"/>
    </w:rPr>
  </w:style>
  <w:style w:type="character" w:customStyle="1" w:styleId="49">
    <w:name w:val="页脚 Char"/>
    <w:basedOn w:val="29"/>
    <w:link w:val="19"/>
    <w:qFormat/>
    <w:uiPriority w:val="99"/>
    <w:rPr>
      <w:kern w:val="2"/>
      <w:sz w:val="18"/>
      <w:szCs w:val="18"/>
    </w:rPr>
  </w:style>
  <w:style w:type="character" w:customStyle="1" w:styleId="50">
    <w:name w:val="文档结构图 Char"/>
    <w:link w:val="10"/>
    <w:qFormat/>
    <w:uiPriority w:val="0"/>
    <w:rPr>
      <w:rFonts w:ascii="宋体" w:eastAsia="宋体"/>
      <w:kern w:val="2"/>
      <w:sz w:val="18"/>
      <w:szCs w:val="18"/>
      <w:lang w:val="en-US" w:eastAsia="zh-CN" w:bidi="ar-SA"/>
    </w:rPr>
  </w:style>
  <w:style w:type="character" w:customStyle="1" w:styleId="51">
    <w:name w:val="纯文本 Char"/>
    <w:link w:val="15"/>
    <w:qFormat/>
    <w:uiPriority w:val="0"/>
    <w:rPr>
      <w:rFonts w:ascii="宋体" w:hAnsi="Courier New"/>
      <w:kern w:val="2"/>
      <w:sz w:val="21"/>
    </w:rPr>
  </w:style>
  <w:style w:type="character" w:customStyle="1" w:styleId="52">
    <w:name w:val="正文缩进 Char"/>
    <w:link w:val="7"/>
    <w:qFormat/>
    <w:uiPriority w:val="0"/>
    <w:rPr>
      <w:rFonts w:ascii="宋体" w:eastAsia="宋体"/>
      <w:sz w:val="24"/>
      <w:lang w:val="en-US" w:eastAsia="zh-CN" w:bidi="ar-SA"/>
    </w:rPr>
  </w:style>
  <w:style w:type="character" w:customStyle="1" w:styleId="53">
    <w:name w:val="日期 Char"/>
    <w:basedOn w:val="29"/>
    <w:link w:val="16"/>
    <w:qFormat/>
    <w:uiPriority w:val="0"/>
    <w:rPr>
      <w:kern w:val="2"/>
      <w:sz w:val="21"/>
      <w:szCs w:val="24"/>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Char1"/>
    <w:basedOn w:val="1"/>
    <w:qFormat/>
    <w:uiPriority w:val="0"/>
    <w:rPr>
      <w:rFonts w:ascii="Tahoma" w:hAnsi="Tahoma"/>
      <w:sz w:val="24"/>
      <w:szCs w:val="20"/>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p0"/>
    <w:basedOn w:val="1"/>
    <w:qFormat/>
    <w:uiPriority w:val="0"/>
    <w:pPr>
      <w:widowControl/>
      <w:snapToGrid w:val="0"/>
      <w:spacing w:after="200"/>
      <w:jc w:val="left"/>
    </w:pPr>
    <w:rPr>
      <w:rFonts w:ascii="Tahoma" w:hAnsi="Tahoma" w:cs="Tahoma"/>
      <w:kern w:val="0"/>
      <w:sz w:val="22"/>
      <w:szCs w:val="22"/>
    </w:rPr>
  </w:style>
  <w:style w:type="paragraph" w:customStyle="1" w:styleId="58">
    <w:name w:val="样式 标题 2 + 段后: 156 磅"/>
    <w:basedOn w:val="6"/>
    <w:qFormat/>
    <w:uiPriority w:val="0"/>
    <w:pPr>
      <w:spacing w:before="100" w:after="100" w:line="240" w:lineRule="auto"/>
    </w:pPr>
    <w:rPr>
      <w:rFonts w:cs="宋体"/>
      <w:bCs/>
      <w:sz w:val="30"/>
    </w:rPr>
  </w:style>
  <w:style w:type="paragraph" w:customStyle="1" w:styleId="59">
    <w:name w:val="样式1"/>
    <w:basedOn w:val="8"/>
    <w:qFormat/>
    <w:uiPriority w:val="0"/>
    <w:pPr>
      <w:jc w:val="center"/>
    </w:pPr>
  </w:style>
  <w:style w:type="paragraph" w:customStyle="1" w:styleId="60">
    <w:name w:val="Char"/>
    <w:basedOn w:val="1"/>
    <w:qFormat/>
    <w:uiPriority w:val="0"/>
    <w:pPr>
      <w:tabs>
        <w:tab w:val="left" w:pos="432"/>
      </w:tabs>
      <w:spacing w:beforeLines="50" w:afterLines="50"/>
      <w:ind w:left="864" w:hanging="432"/>
    </w:pPr>
    <w:rPr>
      <w:sz w:val="24"/>
    </w:rPr>
  </w:style>
  <w:style w:type="paragraph" w:customStyle="1" w:styleId="61">
    <w:name w:val="Char11"/>
    <w:basedOn w:val="1"/>
    <w:qFormat/>
    <w:uiPriority w:val="0"/>
    <w:rPr>
      <w:rFonts w:ascii="Tahoma" w:hAnsi="Tahoma"/>
      <w:sz w:val="24"/>
      <w:szCs w:val="20"/>
    </w:rPr>
  </w:style>
  <w:style w:type="paragraph" w:customStyle="1" w:styleId="62">
    <w:name w:val="Char2"/>
    <w:basedOn w:val="1"/>
    <w:next w:val="1"/>
    <w:qFormat/>
    <w:uiPriority w:val="0"/>
    <w:pPr>
      <w:widowControl/>
      <w:spacing w:line="360" w:lineRule="auto"/>
      <w:jc w:val="left"/>
    </w:pPr>
    <w:rPr>
      <w:kern w:val="0"/>
      <w:szCs w:val="20"/>
      <w:lang w:eastAsia="en-US"/>
    </w:rPr>
  </w:style>
  <w:style w:type="paragraph" w:customStyle="1" w:styleId="63">
    <w:name w:val="Char Char1"/>
    <w:basedOn w:val="1"/>
    <w:qFormat/>
    <w:uiPriority w:val="0"/>
    <w:rPr>
      <w:szCs w:val="20"/>
    </w:rPr>
  </w:style>
  <w:style w:type="paragraph" w:customStyle="1" w:styleId="64">
    <w:name w:val="列出段落1"/>
    <w:basedOn w:val="1"/>
    <w:qFormat/>
    <w:uiPriority w:val="34"/>
    <w:pPr>
      <w:ind w:firstLine="420" w:firstLineChars="200"/>
    </w:pPr>
    <w:rPr>
      <w:rFonts w:ascii="Calibri" w:hAnsi="Calibri"/>
      <w:szCs w:val="22"/>
    </w:rPr>
  </w:style>
  <w:style w:type="paragraph" w:customStyle="1" w:styleId="6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11"/>
    <w:basedOn w:val="1"/>
    <w:qFormat/>
    <w:uiPriority w:val="0"/>
  </w:style>
  <w:style w:type="paragraph" w:styleId="67">
    <w:name w:val="List Paragraph"/>
    <w:basedOn w:val="1"/>
    <w:qFormat/>
    <w:uiPriority w:val="99"/>
    <w:pPr>
      <w:ind w:firstLine="420" w:firstLineChars="200"/>
    </w:pPr>
  </w:style>
  <w:style w:type="character" w:customStyle="1" w:styleId="68">
    <w:name w:val="批注文字 Char1"/>
    <w:basedOn w:val="29"/>
    <w:semiHidden/>
    <w:qFormat/>
    <w:uiPriority w:val="99"/>
    <w:rPr>
      <w:rFonts w:ascii="Times New Roman" w:hAnsi="Times New Roman" w:eastAsia="宋体" w:cs="Times New Roman"/>
      <w:szCs w:val="24"/>
    </w:rPr>
  </w:style>
  <w:style w:type="table" w:customStyle="1" w:styleId="69">
    <w:name w:val="TableGrid"/>
    <w:qFormat/>
    <w:uiPriority w:val="0"/>
    <w:rPr>
      <w:kern w:val="2"/>
      <w:sz w:val="21"/>
      <w:szCs w:val="22"/>
    </w:rPr>
    <w:tblPr>
      <w:tblCellMar>
        <w:top w:w="0" w:type="dxa"/>
        <w:left w:w="0" w:type="dxa"/>
        <w:bottom w:w="0" w:type="dxa"/>
        <w:right w:w="0" w:type="dxa"/>
      </w:tblCellMar>
    </w:tblPr>
  </w:style>
  <w:style w:type="paragraph" w:customStyle="1" w:styleId="70">
    <w:name w:val="xl31"/>
    <w:basedOn w:val="1"/>
    <w:qFormat/>
    <w:uiPriority w:val="0"/>
    <w:pPr>
      <w:widowControl/>
      <w:spacing w:before="100" w:beforeAutospacing="1" w:after="100" w:afterAutospacing="1"/>
      <w:jc w:val="center"/>
    </w:pPr>
    <w:rPr>
      <w:b/>
      <w:bCs/>
      <w:kern w:val="0"/>
      <w:sz w:val="28"/>
      <w:szCs w:val="28"/>
    </w:rPr>
  </w:style>
  <w:style w:type="paragraph" w:customStyle="1" w:styleId="71">
    <w:name w:val="Char Char Char Char Char Char Char1 Char"/>
    <w:basedOn w:val="1"/>
    <w:qFormat/>
    <w:uiPriority w:val="0"/>
    <w:rPr>
      <w:rFonts w:ascii="Arial" w:hAnsi="Arial" w:cs="Arial"/>
      <w:sz w:val="24"/>
    </w:rPr>
  </w:style>
  <w:style w:type="table" w:customStyle="1" w:styleId="72">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3">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4">
    <w:name w:val="Char Char Char1"/>
    <w:basedOn w:val="1"/>
    <w:qFormat/>
    <w:uiPriority w:val="0"/>
    <w:rPr>
      <w:rFonts w:ascii="Tahoma" w:hAnsi="Tahoma"/>
      <w:sz w:val="24"/>
      <w:szCs w:val="20"/>
    </w:rPr>
  </w:style>
  <w:style w:type="character" w:customStyle="1" w:styleId="75">
    <w:name w:val="正文文本 Char"/>
    <w:basedOn w:val="29"/>
    <w:link w:val="3"/>
    <w:qFormat/>
    <w:uiPriority w:val="0"/>
    <w:rPr>
      <w:rFonts w:ascii="宋体" w:hAnsi="宋体"/>
      <w:kern w:val="2"/>
      <w:sz w:val="24"/>
      <w:szCs w:val="24"/>
    </w:rPr>
  </w:style>
  <w:style w:type="character" w:customStyle="1" w:styleId="76">
    <w:name w:val="正文首行缩进 Char"/>
    <w:basedOn w:val="75"/>
    <w:link w:val="25"/>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760D8-0E90-4A7A-A97E-DBF9AF510B9F}">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50</Pages>
  <Words>26259</Words>
  <Characters>28452</Characters>
  <Lines>243</Lines>
  <Paragraphs>68</Paragraphs>
  <TotalTime>6</TotalTime>
  <ScaleCrop>false</ScaleCrop>
  <LinksUpToDate>false</LinksUpToDate>
  <CharactersWithSpaces>31687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2023-06-13T06:23:00Z</dcterms:created>
  <dc:creator>LF</dc:creator>
  <cp:lastModifiedBy>WPS_1174758760</cp:lastModifiedBy>
  <cp:lastPrinted>2023-06-14T00:53:49Z</cp:lastPrinted>
  <dcterms:modified xsi:type="dcterms:W3CDTF">2023-06-14T00:54:25Z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D52883AD73F2493F9701C4895C23AC07_13</vt:lpwstr>
  </property>
</Properties>
</file>